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金溪县卫健委2021</w:t>
      </w:r>
      <w:r>
        <w:rPr>
          <w:rFonts w:hint="eastAsia" w:ascii="宋体" w:hAnsi="宋体" w:eastAsia="宋体" w:cs="宋体"/>
          <w:b/>
          <w:bCs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/>
          <w:bCs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引进卫生专业技术</w:t>
      </w:r>
      <w:r>
        <w:rPr>
          <w:rFonts w:hint="eastAsia" w:ascii="宋体" w:hAnsi="宋体" w:eastAsia="宋体" w:cs="宋体"/>
          <w:b/>
          <w:bCs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人才岗位表</w:t>
      </w:r>
    </w:p>
    <w:tbl>
      <w:tblPr>
        <w:tblStyle w:val="4"/>
        <w:tblW w:w="13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245"/>
        <w:gridCol w:w="8100"/>
        <w:gridCol w:w="1215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岗位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岗位条件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短缺招聘计划数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金溪县人民医院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内科医生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 xml:space="preserve"> 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外科医生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 xml:space="preserve"> 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妇产科医生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儿科医生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口腔医生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 xml:space="preserve"> 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麻醉医生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五官医生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影像医生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眼科医生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康复医生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中医或中西医结合100501K  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中医医生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中医或中西医结合100501K 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检验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检验专业，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计算机信息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计算机专业，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财会</w:t>
            </w:r>
          </w:p>
        </w:tc>
        <w:tc>
          <w:tcPr>
            <w:tcW w:w="8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财会专业，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全日制大学本科学历，学士学位，年龄35周岁及以下。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</w:tbl>
    <w:p>
      <w:pPr>
        <w:spacing w:line="600" w:lineRule="exact"/>
        <w:jc w:val="both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/>
          <w:b/>
          <w:bCs/>
          <w:sz w:val="36"/>
          <w:szCs w:val="36"/>
        </w:rPr>
      </w:pPr>
    </w:p>
    <w:tbl>
      <w:tblPr>
        <w:tblStyle w:val="4"/>
        <w:tblW w:w="13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877"/>
        <w:gridCol w:w="7025"/>
        <w:gridCol w:w="168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岗位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岗位条件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短缺招聘计划数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金溪县中医院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临床医师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临床医学（100201K）专业，中西医结合，中医学，全日制大学本科学历，学士学位，年龄35周岁及以下。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麻醉科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 ，麻醉学专业，全日制大学本科学历，学士学位，年龄在35周岁及以下。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医学影像科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临床医学专业，临床医学（医学影像方向）专业，全日制大学本科学历，学士学位，年龄在35周岁及以下。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公共卫生科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公共事业管理专业，预防医学专业，全日制大学本科学历，学士学位，全日制大学本科学历，学士学位，年龄在30周岁及以下。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财务科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财务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专业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（含税收学、审计学）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，全日制大学本科学历，学士学位，年龄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周岁及以下</w:t>
            </w:r>
            <w:r>
              <w:rPr>
                <w:rFonts w:hint="eastAsia" w:ascii="宋体" w:hAnsi="宋体" w:cs="仿宋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具有医院财务工作经验3年以上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信息科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计算机类专业 ，计算机科学与技术专业，全日制大学本科学历，学士学位，年龄在35周岁及以下。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审计科</w:t>
            </w:r>
          </w:p>
        </w:tc>
        <w:tc>
          <w:tcPr>
            <w:tcW w:w="7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财务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学（含税收学、审计学）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专业，全日制大学本科学历，学士学位，年龄</w:t>
            </w: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周岁及以下。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/>
    <w:p>
      <w:pPr>
        <w:spacing w:line="600" w:lineRule="exact"/>
        <w:jc w:val="both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/>
          <w:b/>
          <w:bCs/>
          <w:sz w:val="36"/>
          <w:szCs w:val="36"/>
        </w:rPr>
      </w:pPr>
    </w:p>
    <w:tbl>
      <w:tblPr>
        <w:tblStyle w:val="4"/>
        <w:tblW w:w="13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470"/>
        <w:gridCol w:w="8235"/>
        <w:gridCol w:w="1185"/>
        <w:gridCol w:w="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岗位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岗位条件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短缺招聘计划数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  <w:lang w:eastAsia="zh-CN"/>
              </w:rPr>
              <w:t>妇幼保健计生服务中心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  <w:lang w:val="en-US" w:eastAsia="zh-CN"/>
              </w:rPr>
              <w:t>放射科医生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研究生：影像医学与核医学（100207）专业，本科：临床医学（100201k）、医学影像学（100203TK）专业，全日制大学本科及以上学历，年龄40周岁及以下,具有医师资格证及执业医师证，执业范围医学影像与放射治疗。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麻醉科医生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麻醉学专业，全日制大学本科学历，年龄35周岁及以下。具有执业助理医师资格证或执业医师资格证，执业范围为外科专业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五官科医生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临床医学（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大专620101K、本科100201K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）专业，全日制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及以上学历，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周岁及以下。取得执业医师证。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妇产科医生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临床医学（100201K）专业，全日制大学本科学历，学士学位，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35周岁及以下。取得执业医师证。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儿科医生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临床医学（100201K）专业，全日制大学本科学历，学士学位，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35周岁及以下。取得执业医师证。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中医康复科医生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中医康复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专业，全日制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学历，年龄35周岁及以下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取得执业医师证。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  <w:lang w:val="en-US" w:eastAsia="zh-CN"/>
              </w:rPr>
              <w:t>公卫医生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预防医学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专业，全日制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学历，年龄35周岁及以下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  <w:lang w:eastAsia="zh-CN"/>
              </w:rPr>
              <w:t>信息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信息统计学专业，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，年龄35周岁及以下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eastAsia="zh-CN"/>
              </w:rPr>
              <w:t>财务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专业，全日制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，年龄35周岁及以下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18"/>
                <w:szCs w:val="18"/>
                <w:lang w:val="en-US" w:eastAsia="zh-CN"/>
              </w:rPr>
              <w:t>公卫医生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预防医学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专业，全日制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学历，年龄35周岁及以下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生物医学</w:t>
            </w:r>
            <w:bookmarkStart w:id="0" w:name="_GoBack"/>
            <w:bookmarkEnd w:id="0"/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生物医学工程类，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学历，年龄35周岁及以下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乡镇卫生院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临床医生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临床医学专业，全日制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/>
                <w:color w:val="000000"/>
                <w:szCs w:val="21"/>
              </w:rPr>
              <w:t>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中医科医生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中医学专业，全日制</w:t>
            </w:r>
            <w:r>
              <w:rPr>
                <w:rFonts w:hint="eastAsia" w:ascii="宋体" w:hAnsi="宋体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/>
                <w:color w:val="000000"/>
                <w:szCs w:val="21"/>
              </w:rPr>
              <w:t>及以上学历，年龄35周岁及以下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药学</w:t>
            </w:r>
          </w:p>
        </w:tc>
        <w:tc>
          <w:tcPr>
            <w:tcW w:w="8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药学专业，全日制本科及以上学历，年龄35周岁及以下，</w:t>
            </w:r>
            <w:r>
              <w:rPr>
                <w:rFonts w:hint="eastAsia" w:ascii="宋体" w:hAnsi="宋体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研究生及以上学历或副高级以上职称年龄放宽至45周岁以下。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11234"/>
    <w:rsid w:val="00007A12"/>
    <w:rsid w:val="00064BB0"/>
    <w:rsid w:val="00137670"/>
    <w:rsid w:val="00142BBC"/>
    <w:rsid w:val="00201121"/>
    <w:rsid w:val="002857E7"/>
    <w:rsid w:val="00341DFB"/>
    <w:rsid w:val="005333D9"/>
    <w:rsid w:val="00B00513"/>
    <w:rsid w:val="00B76F63"/>
    <w:rsid w:val="00DA1070"/>
    <w:rsid w:val="00E81CCC"/>
    <w:rsid w:val="00FA4BE0"/>
    <w:rsid w:val="00FF6E97"/>
    <w:rsid w:val="0499513F"/>
    <w:rsid w:val="0D3D367C"/>
    <w:rsid w:val="12DC7D15"/>
    <w:rsid w:val="17AD7C4A"/>
    <w:rsid w:val="1B585A35"/>
    <w:rsid w:val="252855C2"/>
    <w:rsid w:val="274C1A01"/>
    <w:rsid w:val="2B7F7159"/>
    <w:rsid w:val="2E115934"/>
    <w:rsid w:val="30111234"/>
    <w:rsid w:val="31C92873"/>
    <w:rsid w:val="37E10087"/>
    <w:rsid w:val="45C46476"/>
    <w:rsid w:val="49FE4359"/>
    <w:rsid w:val="4ABC4129"/>
    <w:rsid w:val="4D4A760F"/>
    <w:rsid w:val="5398714F"/>
    <w:rsid w:val="55CD7911"/>
    <w:rsid w:val="5F225DDA"/>
    <w:rsid w:val="60125413"/>
    <w:rsid w:val="641957BF"/>
    <w:rsid w:val="6A633561"/>
    <w:rsid w:val="6C5D2012"/>
    <w:rsid w:val="7009666C"/>
    <w:rsid w:val="774B3E08"/>
    <w:rsid w:val="7E83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15"/>
    <w:basedOn w:val="5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1334</Words>
  <Characters>7604</Characters>
  <Lines>63</Lines>
  <Paragraphs>17</Paragraphs>
  <TotalTime>1</TotalTime>
  <ScaleCrop>false</ScaleCrop>
  <LinksUpToDate>false</LinksUpToDate>
  <CharactersWithSpaces>8921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2019-10-08T04:58:00Z</dcterms:created>
  <dc:creator>Administrator</dc:creator>
  <cp:lastModifiedBy>Mr.X</cp:lastModifiedBy>
  <cp:lastPrinted>2021-04-15T08:16:00Z</cp:lastPrinted>
  <dcterms:modified xsi:type="dcterms:W3CDTF">2021-07-13T09:16:47Z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A2562AC466774004A1DE81C5DFE8ED06</vt:lpwstr>
  </property>
</Properties>
</file>