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六安市叶集区2021年公开引进急需紧缺专业人才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和高层次人才一览表（区人才中心）</w:t>
      </w:r>
    </w:p>
    <w:tbl>
      <w:tblPr>
        <w:tblStyle w:val="2"/>
        <w:tblW w:w="127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269"/>
        <w:gridCol w:w="913"/>
        <w:gridCol w:w="1071"/>
        <w:gridCol w:w="709"/>
        <w:gridCol w:w="5732"/>
        <w:gridCol w:w="993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号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8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7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学历专业名称及代码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年龄要求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02001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（经济学020101、经济统计学020102）或研究生学历（应用经济学0202）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02002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color w:val="00000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本科</w:t>
            </w:r>
            <w:r>
              <w:rPr>
                <w:rFonts w:eastAsia="华文中宋"/>
                <w:color w:val="000000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（汉语言文学050101、新闻学050301、播音与主持艺术130309）或研究生学历（哲学0101、中国语言文学0501、新闻传播学0503、历史学0601、英语语言文学050201、广播电视艺术学050407）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color w:val="000000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color w:val="000000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英语语言文学专业考生需通过</w:t>
            </w:r>
            <w:r>
              <w:rPr>
                <w:rFonts w:eastAsia="华文中宋"/>
                <w:color w:val="000000"/>
                <w:kern w:val="0"/>
                <w:szCs w:val="21"/>
              </w:rPr>
              <w:t>英语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专业</w:t>
            </w:r>
            <w:r>
              <w:rPr>
                <w:rFonts w:eastAsia="华文中宋"/>
                <w:color w:val="000000"/>
                <w:kern w:val="0"/>
                <w:szCs w:val="21"/>
              </w:rPr>
              <w:t>八级考试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02003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（计算机科学与技术080901）或研究生学历（计算机科学与技术0812）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4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（水利水电工程081101、交通运输081801、交通工程081802、物流管理120601）或研究生学历（水利工程0815、交通运输工程0823）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5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（审计学12020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7、物业管理120209、</w:t>
            </w:r>
            <w:r>
              <w:rPr>
                <w:rFonts w:hint="eastAsia" w:eastAsia="华文中宋"/>
                <w:kern w:val="0"/>
                <w:szCs w:val="21"/>
              </w:rPr>
              <w:t>电子商务120801）或研究生学历（管理学12）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6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法学</w:t>
            </w:r>
            <w:r>
              <w:rPr>
                <w:rFonts w:hint="eastAsia" w:eastAsia="华文中宋"/>
                <w:kern w:val="0"/>
                <w:szCs w:val="21"/>
              </w:rPr>
              <w:t>030101K、知识产权030102T）</w:t>
            </w:r>
            <w:r>
              <w:rPr>
                <w:rFonts w:eastAsia="华文中宋"/>
                <w:color w:val="000000"/>
                <w:kern w:val="0"/>
                <w:szCs w:val="21"/>
              </w:rPr>
              <w:t>或研究生学历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color w:val="000000"/>
                <w:kern w:val="0"/>
                <w:szCs w:val="21"/>
              </w:rPr>
              <w:t>法学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0301）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具有法律职业资格证书A类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7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应用化学专业</w:t>
            </w:r>
            <w:r>
              <w:rPr>
                <w:rFonts w:hint="eastAsia" w:eastAsia="华文中宋"/>
                <w:kern w:val="0"/>
                <w:szCs w:val="21"/>
              </w:rPr>
              <w:t>070302、化学工程与工艺081301、精细化工081308T、材料化学080403、高分子材料与工程080407）</w:t>
            </w:r>
            <w:r>
              <w:rPr>
                <w:rFonts w:eastAsia="华文中宋"/>
                <w:kern w:val="0"/>
                <w:szCs w:val="21"/>
              </w:rPr>
              <w:t>或研究生学历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化学工程与技术</w:t>
            </w:r>
            <w:r>
              <w:rPr>
                <w:rFonts w:hint="eastAsia" w:eastAsia="华文中宋"/>
                <w:kern w:val="0"/>
                <w:szCs w:val="21"/>
              </w:rPr>
              <w:t>0817）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8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（城乡规划082802）或研究生学历（建筑学0813）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9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区人才中心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02009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8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732" w:type="dxa"/>
            <w:noWrap w:val="0"/>
            <w:vAlign w:val="center"/>
          </w:tcPr>
          <w:p>
            <w:pPr>
              <w:spacing w:line="268" w:lineRule="exac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</w:t>
            </w:r>
            <w:r>
              <w:rPr>
                <w:rFonts w:eastAsia="华文中宋"/>
                <w:kern w:val="0"/>
                <w:szCs w:val="21"/>
              </w:rPr>
              <w:t>学历</w:t>
            </w:r>
            <w:r>
              <w:rPr>
                <w:rFonts w:hint="eastAsia" w:eastAsia="华文中宋"/>
                <w:kern w:val="0"/>
                <w:szCs w:val="21"/>
              </w:rPr>
              <w:t>（土木工程081001）或研究生学历（土木工程0814）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8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268" w:lineRule="exact"/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F03A7"/>
    <w:rsid w:val="0DD74B40"/>
    <w:rsid w:val="20D20D1C"/>
    <w:rsid w:val="41FF03A7"/>
    <w:rsid w:val="44FF73E7"/>
    <w:rsid w:val="58920903"/>
    <w:rsid w:val="7C9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2021-07-20T09:42:00Z</dcterms:created>
  <dc:creator>Administrator</dc:creator>
  <cp:lastModifiedBy>Administrator</cp:lastModifiedBy>
  <dcterms:modified xsi:type="dcterms:W3CDTF">2021-07-20T09:43:59Z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AD2BA8DAACAA482582BE04DAFB1DB224</vt:lpwstr>
  </property>
</Properties>
</file>