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25" w:type="dxa"/>
        <w:tblInd w:w="-4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70"/>
        <w:gridCol w:w="540"/>
        <w:gridCol w:w="976"/>
        <w:gridCol w:w="1020"/>
        <w:gridCol w:w="644"/>
        <w:gridCol w:w="1860"/>
        <w:gridCol w:w="820"/>
        <w:gridCol w:w="912"/>
        <w:gridCol w:w="1464"/>
        <w:gridCol w:w="1116"/>
        <w:gridCol w:w="1644"/>
        <w:gridCol w:w="2292"/>
        <w:gridCol w:w="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3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大连市中山区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社区卫生服务机构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非事业编制医疗卫生专业技术人员计划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工资待遇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中山区昆明街道社区卫生服务中心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本科：临床医学；研究生：内科学、儿科学、妇科学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本科：中医学、针灸推拿学；研究生：中医基础理论、中医临床基础、中医诊断学、中医内科学、中医外科学、中医骨伤科学、中医妇科学、中医儿科学、中医五官科学、针灸推拿学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西药师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1"/>
                <w:szCs w:val="21"/>
              </w:rPr>
              <w:t>1986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中山区海军广场街道社区卫生服务中心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中山区青泥洼桥街道社区卫生服务中心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医学检验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医学检验技术、医学检验学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取得检验执业证书相应资格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西药师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中山区老虎滩街道社区卫生服务中心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本科：临床医学；研究生：内科学、儿科学、妇科学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中山区桃源街道社区卫生服务中心  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本科：临床医学；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研究生：内科学、儿科学、妇科学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本科：中医学、针灸推拿学；研究生：中医基础理论、中医临床基础、中医诊断学、中医内科学、中医外科学、中医骨伤科学、中医妇科学、中医儿科学、中医五官科学、针灸推拿学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B超医师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医学影像学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取得影像执业证书相应资格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公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预防医学专业、卫生事业管理专业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</w:rPr>
              <w:t>全日制本科及以上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中山区葵英街道社区卫生服务中心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本科：临床医学；研究生：内科学、儿科学、妇科学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西药师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highlight w:val="none"/>
              </w:rPr>
              <w:t>35周岁及以下（198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highlight w:val="none"/>
              </w:rPr>
              <w:t>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医学检验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医学检验技术、医学检验学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取得检验执业证书相应资格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区妇幼保健计生中心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本科：中医学、针灸推拿学；研究生：中医基础理论、中医临床基础、中医诊断学、中医内科学、中医外科学、中医骨伤科学、中医妇科学、中医儿科学、中医五官科学、针灸推拿学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40周岁及以下（1981年7月1日以后出生）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具有医师资格证,并且注册执业范围与岗位相符。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专科：药学类 ；本科：药学类 ；研究生：药学类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取得执业药师证书相应资格</w:t>
            </w:r>
          </w:p>
        </w:tc>
        <w:tc>
          <w:tcPr>
            <w:tcW w:w="2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护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/>
              </w:rPr>
              <w:t>专科：护理学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本科：护理学；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研究生：护理学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35周岁及以下（1986年7月1日以后出生）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具有2年及以上护理相关工作经历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取得护士执业证书相应资格</w:t>
            </w:r>
          </w:p>
        </w:tc>
        <w:tc>
          <w:tcPr>
            <w:tcW w:w="22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2" w:firstLineChars="200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AndChars" w:linePitch="60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6777"/>
    <w:rsid w:val="000973C1"/>
    <w:rsid w:val="000C1D1E"/>
    <w:rsid w:val="000E70DC"/>
    <w:rsid w:val="000F145C"/>
    <w:rsid w:val="001171EF"/>
    <w:rsid w:val="00133E78"/>
    <w:rsid w:val="001E7D84"/>
    <w:rsid w:val="0020374C"/>
    <w:rsid w:val="00267B0D"/>
    <w:rsid w:val="002A7BAD"/>
    <w:rsid w:val="002E4B23"/>
    <w:rsid w:val="00350D72"/>
    <w:rsid w:val="00384E5E"/>
    <w:rsid w:val="003E6493"/>
    <w:rsid w:val="0045133D"/>
    <w:rsid w:val="0045155D"/>
    <w:rsid w:val="004925A8"/>
    <w:rsid w:val="004C4DAD"/>
    <w:rsid w:val="004D1BCF"/>
    <w:rsid w:val="00537828"/>
    <w:rsid w:val="00553C46"/>
    <w:rsid w:val="005A5495"/>
    <w:rsid w:val="005F5D1D"/>
    <w:rsid w:val="00622442"/>
    <w:rsid w:val="006275FE"/>
    <w:rsid w:val="00631CDF"/>
    <w:rsid w:val="00677859"/>
    <w:rsid w:val="006C63FE"/>
    <w:rsid w:val="00727DE9"/>
    <w:rsid w:val="00763EBF"/>
    <w:rsid w:val="007B4FB2"/>
    <w:rsid w:val="00853EB6"/>
    <w:rsid w:val="00867057"/>
    <w:rsid w:val="008C5D40"/>
    <w:rsid w:val="009135D7"/>
    <w:rsid w:val="00937CBC"/>
    <w:rsid w:val="009501FF"/>
    <w:rsid w:val="009C7D5D"/>
    <w:rsid w:val="00A43600"/>
    <w:rsid w:val="00A66777"/>
    <w:rsid w:val="00A86F19"/>
    <w:rsid w:val="00AE5A8F"/>
    <w:rsid w:val="00B03BEA"/>
    <w:rsid w:val="00B2364B"/>
    <w:rsid w:val="00B23F7A"/>
    <w:rsid w:val="00B54754"/>
    <w:rsid w:val="00B5716C"/>
    <w:rsid w:val="00B835F7"/>
    <w:rsid w:val="00C52160"/>
    <w:rsid w:val="00C70156"/>
    <w:rsid w:val="00C97FEC"/>
    <w:rsid w:val="00CB26E4"/>
    <w:rsid w:val="00CE3344"/>
    <w:rsid w:val="00D069C1"/>
    <w:rsid w:val="00D21CE8"/>
    <w:rsid w:val="00D529EF"/>
    <w:rsid w:val="00E51615"/>
    <w:rsid w:val="00E83DBB"/>
    <w:rsid w:val="00E84A47"/>
    <w:rsid w:val="00F1729C"/>
    <w:rsid w:val="00F92C27"/>
    <w:rsid w:val="017F48B9"/>
    <w:rsid w:val="01A249E6"/>
    <w:rsid w:val="03860C3B"/>
    <w:rsid w:val="03D17DD3"/>
    <w:rsid w:val="03DF49B1"/>
    <w:rsid w:val="04C22B79"/>
    <w:rsid w:val="04FF09A9"/>
    <w:rsid w:val="052301FE"/>
    <w:rsid w:val="057D1EE8"/>
    <w:rsid w:val="06515720"/>
    <w:rsid w:val="06F54EC1"/>
    <w:rsid w:val="088D3266"/>
    <w:rsid w:val="08C845BB"/>
    <w:rsid w:val="09C75319"/>
    <w:rsid w:val="09C86890"/>
    <w:rsid w:val="09D408A1"/>
    <w:rsid w:val="0E9873B6"/>
    <w:rsid w:val="1060346A"/>
    <w:rsid w:val="10BD6228"/>
    <w:rsid w:val="10BF021E"/>
    <w:rsid w:val="10D62741"/>
    <w:rsid w:val="111E1717"/>
    <w:rsid w:val="119F5809"/>
    <w:rsid w:val="155D5A6E"/>
    <w:rsid w:val="16DA5B14"/>
    <w:rsid w:val="1713751C"/>
    <w:rsid w:val="173977FE"/>
    <w:rsid w:val="19A46695"/>
    <w:rsid w:val="1A2F09AC"/>
    <w:rsid w:val="1B8D2F20"/>
    <w:rsid w:val="1C2E1BE1"/>
    <w:rsid w:val="1C70470E"/>
    <w:rsid w:val="1D2E5515"/>
    <w:rsid w:val="1D825936"/>
    <w:rsid w:val="1DC81FF6"/>
    <w:rsid w:val="1F5F3CB8"/>
    <w:rsid w:val="1F994E83"/>
    <w:rsid w:val="20233F2A"/>
    <w:rsid w:val="208F0EAC"/>
    <w:rsid w:val="21262AC3"/>
    <w:rsid w:val="22445F7F"/>
    <w:rsid w:val="22F21A64"/>
    <w:rsid w:val="24331311"/>
    <w:rsid w:val="244F6A14"/>
    <w:rsid w:val="25BA3928"/>
    <w:rsid w:val="25CA4EBC"/>
    <w:rsid w:val="25D81B96"/>
    <w:rsid w:val="26507B40"/>
    <w:rsid w:val="270C3AD5"/>
    <w:rsid w:val="273002D0"/>
    <w:rsid w:val="278453AF"/>
    <w:rsid w:val="279A7032"/>
    <w:rsid w:val="27A822E6"/>
    <w:rsid w:val="27E57F4E"/>
    <w:rsid w:val="29F76C90"/>
    <w:rsid w:val="2A400AC6"/>
    <w:rsid w:val="2A54235F"/>
    <w:rsid w:val="2A7D28CD"/>
    <w:rsid w:val="2D6076D8"/>
    <w:rsid w:val="2D787C30"/>
    <w:rsid w:val="2E5C15E2"/>
    <w:rsid w:val="2E9A1267"/>
    <w:rsid w:val="2FA4310C"/>
    <w:rsid w:val="30DA7336"/>
    <w:rsid w:val="30EA1FFD"/>
    <w:rsid w:val="32812226"/>
    <w:rsid w:val="357316F3"/>
    <w:rsid w:val="35EC2B70"/>
    <w:rsid w:val="394F776C"/>
    <w:rsid w:val="39700D9F"/>
    <w:rsid w:val="3AA96C72"/>
    <w:rsid w:val="3AD726E5"/>
    <w:rsid w:val="3BE86DAB"/>
    <w:rsid w:val="3D304D95"/>
    <w:rsid w:val="3DEC2EC3"/>
    <w:rsid w:val="3EAA2BB4"/>
    <w:rsid w:val="3F36085F"/>
    <w:rsid w:val="3F8A13D0"/>
    <w:rsid w:val="42881880"/>
    <w:rsid w:val="42C45D80"/>
    <w:rsid w:val="4326383A"/>
    <w:rsid w:val="4347691E"/>
    <w:rsid w:val="43B338CD"/>
    <w:rsid w:val="462537AD"/>
    <w:rsid w:val="46D0538D"/>
    <w:rsid w:val="477B13FA"/>
    <w:rsid w:val="486F4525"/>
    <w:rsid w:val="499F5F7C"/>
    <w:rsid w:val="4A1755B4"/>
    <w:rsid w:val="4A4226F9"/>
    <w:rsid w:val="4ABB06E4"/>
    <w:rsid w:val="4B925C39"/>
    <w:rsid w:val="4C527275"/>
    <w:rsid w:val="4C5A4F6A"/>
    <w:rsid w:val="4F5B1FD2"/>
    <w:rsid w:val="50225029"/>
    <w:rsid w:val="515306CF"/>
    <w:rsid w:val="52112A3D"/>
    <w:rsid w:val="534C7100"/>
    <w:rsid w:val="53DA3A78"/>
    <w:rsid w:val="541643FE"/>
    <w:rsid w:val="544437D5"/>
    <w:rsid w:val="54D03507"/>
    <w:rsid w:val="562119AC"/>
    <w:rsid w:val="56C77D3F"/>
    <w:rsid w:val="572D77CB"/>
    <w:rsid w:val="579276A7"/>
    <w:rsid w:val="58214E3F"/>
    <w:rsid w:val="58A81953"/>
    <w:rsid w:val="5A1B52E3"/>
    <w:rsid w:val="5A292E05"/>
    <w:rsid w:val="5A8C7C45"/>
    <w:rsid w:val="5D382048"/>
    <w:rsid w:val="5DEB381F"/>
    <w:rsid w:val="5FA014BC"/>
    <w:rsid w:val="6047745C"/>
    <w:rsid w:val="61055E27"/>
    <w:rsid w:val="610A5CDE"/>
    <w:rsid w:val="610D00F2"/>
    <w:rsid w:val="617055D5"/>
    <w:rsid w:val="61D877A1"/>
    <w:rsid w:val="64022223"/>
    <w:rsid w:val="64382B8E"/>
    <w:rsid w:val="65E92261"/>
    <w:rsid w:val="66731733"/>
    <w:rsid w:val="68794B4C"/>
    <w:rsid w:val="69E61D52"/>
    <w:rsid w:val="6A1A1E0D"/>
    <w:rsid w:val="6AE264C4"/>
    <w:rsid w:val="6B096DDB"/>
    <w:rsid w:val="6B6877DC"/>
    <w:rsid w:val="6C210EB3"/>
    <w:rsid w:val="6DDD449B"/>
    <w:rsid w:val="6FE1414F"/>
    <w:rsid w:val="703A4F18"/>
    <w:rsid w:val="70655D01"/>
    <w:rsid w:val="715E50C3"/>
    <w:rsid w:val="71892E12"/>
    <w:rsid w:val="738504A6"/>
    <w:rsid w:val="741E25CB"/>
    <w:rsid w:val="77CB4D72"/>
    <w:rsid w:val="78344CE8"/>
    <w:rsid w:val="7A3C616D"/>
    <w:rsid w:val="7AE029F0"/>
    <w:rsid w:val="7AE361E1"/>
    <w:rsid w:val="7AFC6F78"/>
    <w:rsid w:val="7BB93E5F"/>
    <w:rsid w:val="7CB770DD"/>
    <w:rsid w:val="7CFA4847"/>
    <w:rsid w:val="7D7841AE"/>
    <w:rsid w:val="7FBC1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hint="eastAsia" w:ascii="Arial" w:hAnsi="Arial" w:eastAsia="微软雅黑"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rFonts w:hint="default" w:ascii="Arial" w:hAnsi="Arial" w:eastAsia="微软雅黑" w:cs="Arial"/>
      <w:color w:val="800080"/>
      <w:u w:val="none"/>
    </w:rPr>
  </w:style>
  <w:style w:type="character" w:styleId="8">
    <w:name w:val="Emphasis"/>
    <w:basedOn w:val="6"/>
    <w:qFormat/>
    <w:uiPriority w:val="20"/>
    <w:rPr>
      <w:b/>
      <w:color w:val="CC0000"/>
    </w:rPr>
  </w:style>
  <w:style w:type="character" w:styleId="9">
    <w:name w:val="Hyperlink"/>
    <w:basedOn w:val="6"/>
    <w:semiHidden/>
    <w:unhideWhenUsed/>
    <w:qFormat/>
    <w:uiPriority w:val="99"/>
    <w:rPr>
      <w:rFonts w:hint="default" w:ascii="Arial" w:hAnsi="Arial" w:eastAsia="微软雅黑" w:cs="Arial"/>
      <w:color w:val="0000FF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end"/>
    <w:basedOn w:val="6"/>
    <w:qFormat/>
    <w:uiPriority w:val="0"/>
    <w:rPr>
      <w:vanish/>
    </w:rPr>
  </w:style>
  <w:style w:type="character" w:customStyle="1" w:styleId="16">
    <w:name w:val="bgmenuhove2"/>
    <w:basedOn w:val="6"/>
    <w:qFormat/>
    <w:uiPriority w:val="0"/>
    <w:rPr>
      <w:color w:val="EDDC0B"/>
    </w:rPr>
  </w:style>
  <w:style w:type="character" w:customStyle="1" w:styleId="17">
    <w:name w:val="current"/>
    <w:basedOn w:val="6"/>
    <w:qFormat/>
    <w:uiPriority w:val="0"/>
    <w:rPr>
      <w:color w:val="363636"/>
      <w:bdr w:val="single" w:color="F2F2F2" w:sz="6" w:space="0"/>
    </w:rPr>
  </w:style>
  <w:style w:type="character" w:customStyle="1" w:styleId="18">
    <w:name w:val="disabled"/>
    <w:basedOn w:val="6"/>
    <w:qFormat/>
    <w:uiPriority w:val="0"/>
    <w:rPr>
      <w:color w:val="FFFFFF"/>
      <w:bdr w:val="single" w:color="3D6BB7" w:sz="6" w:space="0"/>
      <w:shd w:val="clear" w:color="auto" w:fill="3D6BB7"/>
    </w:rPr>
  </w:style>
  <w:style w:type="character" w:customStyle="1" w:styleId="19">
    <w:name w:val="home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4989</Words>
  <Characters>5201</Characters>
  <Lines>43</Lines>
  <Paragraphs>12</Paragraphs>
  <TotalTime>0</TotalTime>
  <ScaleCrop>false</ScaleCrop>
  <LinksUpToDate>false</LinksUpToDate>
  <CharactersWithSpaces>5223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2020-05-12T02:23:00Z</dcterms:created>
  <dc:creator>微软用户</dc:creator>
  <cp:lastModifiedBy>王艺燃</cp:lastModifiedBy>
  <cp:lastPrinted>2021-07-02T01:40:00Z</cp:lastPrinted>
  <dcterms:modified xsi:type="dcterms:W3CDTF">2021-07-21T06:35:10Z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3BCB4D151CAD4E9981D322549D46D4E9</vt:lpwstr>
  </property>
</Properties>
</file>