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8" w:tblpY="723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2292"/>
        <w:gridCol w:w="2302"/>
        <w:gridCol w:w="1559"/>
        <w:gridCol w:w="1140"/>
        <w:gridCol w:w="2295"/>
        <w:gridCol w:w="2490"/>
        <w:gridCol w:w="9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lang w:bidi="ar"/>
              </w:rPr>
              <w:t>中共海丰县委政法委员会政府聘员岗位表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专业要求及代码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bidi="ar"/>
              </w:rPr>
              <w:t>县镇两级民情地图联勤指挥中心政府聘员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从事机关公文写作、档案管理、政务信息和综合性调研、熟悉计算机操作、处理机关各项行政事务等工作。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40人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其中：海丰县联勤指挥中心政府聘员4人；各镇民情地图联勤指挥中心政府聘员36人（海城、附城、城东、梅陇、可塘、公平各4人，黄羌、平东、赤坑、大湖、陶河、联安各2人）。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bidi="ar"/>
              </w:rPr>
              <w:t>全日制大专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bidi="ar"/>
              </w:rPr>
              <w:t>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  <w:r>
              <w:rPr>
                <w:rStyle w:val="4"/>
                <w:rFonts w:hint="default"/>
                <w:lang w:bidi="ar"/>
              </w:rPr>
              <w:t>（B120402）</w:t>
            </w:r>
          </w:p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法学类（B0301）</w:t>
            </w:r>
          </w:p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法律实务类（C0301）</w:t>
            </w:r>
          </w:p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计算机类（B0809、C0814）</w:t>
            </w:r>
          </w:p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汉语言文学（B050101）</w:t>
            </w:r>
          </w:p>
          <w:p>
            <w:pPr>
              <w:widowControl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公共管理类（C1207）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民情地图平台需24小时日常运行和管理，应聘人员能适应夜间轮换值班、加班、应急等工作任务。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>
      <w:pPr>
        <w:spacing w:line="57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  <w:bookmarkStart w:id="0" w:name="_GoBack"/>
      <w:bookmarkEnd w:id="0"/>
    </w:p>
    <w:p>
      <w:pPr>
        <w:spacing w:line="57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D4238"/>
    <w:rsid w:val="12A36610"/>
    <w:rsid w:val="470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2021-08-09T02:02:00Z</dcterms:created>
  <dc:creator>涼しい朝露</dc:creator>
  <cp:lastModifiedBy>涼しい朝露</cp:lastModifiedBy>
  <dcterms:modified xsi:type="dcterms:W3CDTF">2021-08-09T02:04:50Z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