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2021年勐海县事业单位紧缺人才聘用公告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2021年勐海县事业单位紧缺人才聘用岗位表</w:t>
      </w:r>
      <w:r>
        <w:rPr>
          <w:rFonts w:ascii="Times New Roman" w:hAnsi="Times New Roman" w:eastAsia="方正仿宋_GBK" w:cs="Times New Roman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</w:rPr>
        <w:t>本人符合报考条件</w:t>
      </w:r>
      <w:r>
        <w:rPr>
          <w:rFonts w:ascii="Times New Roman" w:hAnsi="Times New Roman" w:eastAsia="方正仿宋_GBK" w:cs="Times New Roman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F803D51"/>
    <w:rsid w:val="207101B5"/>
    <w:rsid w:val="21A451CC"/>
    <w:rsid w:val="23A27A01"/>
    <w:rsid w:val="2CD55326"/>
    <w:rsid w:val="40FD008D"/>
    <w:rsid w:val="4D2A057A"/>
    <w:rsid w:val="4D3456FF"/>
    <w:rsid w:val="5B7D4CF1"/>
    <w:rsid w:val="70D37BF0"/>
    <w:rsid w:val="74E704EB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HP</cp:lastModifiedBy>
  <dcterms:modified xsi:type="dcterms:W3CDTF">2021-08-06T07:07:41Z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