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422" w:afterAutospacing="0" w:line="360" w:lineRule="auto"/>
        <w:ind w:left="0" w:right="0"/>
      </w:pPr>
      <w:r>
        <w:rPr>
          <w:rFonts w:ascii="Arial" w:hAnsi="Arial" w:cs="Arial"/>
          <w:color w:val="000000"/>
          <w:sz w:val="21"/>
          <w:szCs w:val="21"/>
          <w:shd w:val="clear" w:fill="FFFFFF"/>
        </w:rPr>
        <w:t>根据我院学科发展规划，现面向社会公开招聘，招聘对象为普通高等院校相关专业2021届应届及其他往届毕业生，具体招聘岗位及要求详见表格。</w:t>
      </w:r>
    </w:p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522"/>
        <w:gridCol w:w="1858"/>
        <w:gridCol w:w="1114"/>
        <w:gridCol w:w="3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所需人数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口腔黏膜病学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口腔颌面外科学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牙体牙髓病学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口腔预防医学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口腔修复学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牙周病学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口腔种植学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口腔正畸学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儿童口腔医学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麻醉学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影像医学与核医学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医岗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财会类、金融类、经济类等专业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工勤岗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（收费员）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大专及以上学历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tblCellSpacing w:w="0" w:type="dxa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13　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专业不限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工勤岗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（手术器械清洗）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2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19"/>
                <w:szCs w:val="19"/>
                <w:bdr w:val="none" w:color="auto" w:sz="0" w:space="0"/>
              </w:rPr>
              <w:t>大专及以上学历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43D64"/>
    <w:rsid w:val="3754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2021-08-10T10:04:00Z</dcterms:created>
  <dc:creator>ぺ灬cc果冻ル</dc:creator>
  <cp:lastModifiedBy>ぺ灬cc果冻ル</cp:lastModifiedBy>
  <dcterms:modified xsi:type="dcterms:W3CDTF">2021-08-10T10:06:21Z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