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085" w:leftChars="250" w:hanging="560" w:hanging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</w:p>
    <w:p>
      <w:pPr>
        <w:pStyle w:val="3"/>
        <w:widowControl/>
        <w:kinsoku w:val="0"/>
        <w:overflowPunct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长沙县星沙医院</w:t>
      </w:r>
    </w:p>
    <w:p>
      <w:pPr>
        <w:pStyle w:val="3"/>
        <w:widowControl/>
        <w:kinsoku w:val="0"/>
        <w:overflowPunct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2021年8月公开招聘编外专业技术人员岗位及职数表</w:t>
      </w:r>
      <w:bookmarkEnd w:id="0"/>
    </w:p>
    <w:tbl>
      <w:tblPr>
        <w:tblStyle w:val="4"/>
        <w:tblW w:w="0" w:type="auto"/>
        <w:tblInd w:w="6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709"/>
        <w:gridCol w:w="2123"/>
        <w:gridCol w:w="1005"/>
        <w:gridCol w:w="630"/>
        <w:gridCol w:w="4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职数</w:t>
            </w:r>
          </w:p>
        </w:tc>
        <w:tc>
          <w:tcPr>
            <w:tcW w:w="8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最低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4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</w:tr>
      <w:tr>
        <w:trPr>
          <w:trHeight w:val="25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西医内科（一）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0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 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2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学士及以上学位，副主任医师及以上资格。  2.执业范围与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报考岗位一致。       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3.免笔试。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西医内科（二）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临床医学、内科学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学士及以上学位，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执业医师及以上资格。    2.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执业范围与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报考岗位一致。      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西医外科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临床医学、外科学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儿科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临床医学、儿科学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烧伤外科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临床医学、外科学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B超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眼科医师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临床医学、眼科学、中医五官科学、中医学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临床医学、外科学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中医科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中医学、中医内科学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学士及以上学位，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执业医师及以上资格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    2.执业范围为中医、中医内科、中医外科专业。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皮肤科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临床医学、中医学</w:t>
            </w: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学士及以上学位，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执业医师及以上资格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    2.执业范围为皮肤病与性病专业或中医外科专业。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药剂科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中药、中药学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1.具有中药学（师）及以上资格或中药学（师）资格考试合格成绩单。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二级及以上医院一年及以上工作经历。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检验科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医学检验、医学检验技术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1.具有主管检验师及以上资格，生物安全岗位培训证书和PCR上岗证。       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2.二级及以上医院一年及以上工作经历。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康复治疗师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康复治疗学、运动康复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本科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具有学士及以上学位，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康复医学治疗技术（师）资格或康复医学治疗技术（师）考试合格成绩单。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二级及以上医院一年及以上工作经历。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放射技士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医学影像技术、临床医学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大专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1.具有放射医学技术（士）及以上资格或放射医学技术（士）考试合格成绩单。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健康宣教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具有学士及以上学位。                       2.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一年及以上宣传平台管理和运营经验。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护理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护理、护理学、助产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1.具有护士执业资格或护士执业考试合格成绩单。</w:t>
            </w:r>
          </w:p>
        </w:tc>
      </w:tr>
    </w:tbl>
    <w:p>
      <w:pPr>
        <w:ind w:firstLine="600" w:firstLineChars="400"/>
        <w:rPr>
          <w:rFonts w:ascii="宋体" w:hAnsi="宋体" w:cs="方正小标宋简体"/>
          <w:bCs/>
          <w:sz w:val="15"/>
          <w:szCs w:val="15"/>
        </w:rPr>
      </w:pPr>
      <w:r>
        <w:rPr>
          <w:rFonts w:hint="eastAsia" w:ascii="宋体" w:hAnsi="宋体" w:cs="方正小标宋简体"/>
          <w:bCs/>
          <w:sz w:val="15"/>
          <w:szCs w:val="15"/>
        </w:rPr>
        <w:t>注：最高年龄28周岁即1992年8月31日后出生；35周岁即1985年8月31日后出生。</w:t>
      </w:r>
    </w:p>
    <w:p>
      <w:pPr>
        <w:ind w:firstLine="900" w:firstLineChars="600"/>
        <w:rPr>
          <w:rFonts w:hint="eastAsia" w:ascii="宋体" w:hAnsi="宋体" w:cs="方正小标宋简体"/>
          <w:bCs/>
          <w:sz w:val="15"/>
          <w:szCs w:val="15"/>
        </w:rPr>
        <w:sectPr>
          <w:footerReference r:id="rId3" w:type="default"/>
          <w:pgSz w:w="11907" w:h="16839"/>
          <w:pgMar w:top="170" w:right="284" w:bottom="170" w:left="45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D2F9E"/>
    <w:rsid w:val="5D7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2021-08-25T02:11:00Z</dcterms:created>
  <dc:creator>柳柳子</dc:creator>
  <cp:lastModifiedBy>柳柳子</cp:lastModifiedBy>
  <dcterms:modified xsi:type="dcterms:W3CDTF">2021-08-25T02:12:28Z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21C5FABD47A54657A174AD4573983D32</vt:lpwstr>
  </property>
</Properties>
</file>