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中小学教师资格考试（笔试）成绩复核申请表</w:t>
      </w: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申请日期：    月    日</w:t>
      </w:r>
    </w:p>
    <w:tbl>
      <w:tblPr>
        <w:tblStyle w:val="2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91"/>
        <w:gridCol w:w="1800"/>
        <w:gridCol w:w="1223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准考证号</w:t>
            </w:r>
          </w:p>
        </w:tc>
        <w:tc>
          <w:tcPr>
            <w:tcW w:w="1591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复核</w:t>
            </w:r>
          </w:p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科目代码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网站</w:t>
            </w:r>
          </w:p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查询分数</w:t>
            </w: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复核结果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7494" w:type="dxa"/>
            <w:gridSpan w:val="5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                          </w:t>
      </w: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备注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要求成绩复核的考生可在</w:t>
      </w:r>
      <w:r>
        <w:rPr>
          <w:rFonts w:hint="eastAsia" w:ascii="仿宋_GB2312" w:eastAsia="仿宋_GB2312"/>
          <w:sz w:val="28"/>
          <w:szCs w:val="28"/>
        </w:rPr>
        <w:t>考试成绩公布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t>个日内认真填写此表后到所报考区提出复核申请。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复核范围为漏登分、错累分、漏评卷，凡涉及评阅宽严尺度问题的一律不予复查。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工作人员将在受理复核申请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个工作日内通过电子邮件或电话回复成绩复核结果。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C61FC"/>
    <w:multiLevelType w:val="multilevel"/>
    <w:tmpl w:val="1FDC61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hAnsi="宋体" w:cs="宋体"/>
        <w:b/>
        <w:color w:val="00000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11F04"/>
    <w:rsid w:val="4B81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2021-08-21T06:28:00Z</dcterms:created>
  <dc:creator>燕南</dc:creator>
  <cp:lastModifiedBy>燕南</cp:lastModifiedBy>
  <dcterms:modified xsi:type="dcterms:W3CDTF">2021-08-21T06:28:53Z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