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535353"/>
          <w:spacing w:val="0"/>
          <w:sz w:val="43"/>
          <w:szCs w:val="43"/>
          <w:bdr w:val="none" w:color="auto" w:sz="0" w:space="0"/>
        </w:rPr>
        <w:t>重庆市黔江中心医院2021年9月人才需求信息</w:t>
      </w:r>
    </w:p>
    <w:tbl>
      <w:tblPr>
        <w:tblW w:w="91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69"/>
        <w:gridCol w:w="1950"/>
        <w:gridCol w:w="2306"/>
        <w:gridCol w:w="1238"/>
        <w:gridCol w:w="1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学历、职称要求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需求人数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外科学（肝胆外科方向）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研究生学历，博士学位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研究生学历，博士学位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小儿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普内科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儿科学（小儿内科方向）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全日制研究生学历，并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取得硕士及以上学位。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小儿呼吸内科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儿科学（小儿内科方向）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全日制研究生学历，并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取得硕士及以上学位。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耳鼻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咽喉科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全日制研究生学历，并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取得硕士及以上学位。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临床检验诊断学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全日制研究生学历，并已取得硕士及以上学位。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生物信息学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全日制研究生学历，并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取得硕士及以上学位。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影像诊断医师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全日制研究生学历，并已取得硕士及以上学位，博士优先。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老年科（内分泌科）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临床医学、老年医学、影像医学与核医学、医学影像学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眼视光医学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儿童康复科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特教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老师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取得教师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资格证者优先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2021年前需取得规培结业证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医师3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医学影像学、临床医学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已取得全日制本科及以上学历和相应学位证书；已取得医师执业证书；有二甲及以上综合医院超声科工作经历。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硕士研究生或住培结业者优先；35岁以下。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药学，药物制剂，应用药学，药物化学，药物分析学，药物分析，药理学，微生物与生化药学，临床药学，药剂学，生药学，药事管理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全日制本科及以上学历，并已取得相应学位。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临床科室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护士1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全日制本科及以上学历，已取得相应学位。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护士2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全日制大专及以上学历，已取得毕业证、护士执业证及规培结业证。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2021年12月前取得规培结业证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护士3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本科学历，主管护师及以上职称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40岁以下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装备科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生物医学工程、医疗仪器维修技术</w:t>
            </w: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卫生事业管理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全日制专科及以上学历，已取得相应学位。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生物医学工程、卫生事业管理专业要求全日制本科及以上学历；医疗仪器维修技术要求全日制专科及以上学历。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科教科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干事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临床医学、社会医学与卫生事业管理、卫生管理专业、英语（医学英语方向）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全日制本科及以上学历，并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干事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计算机科学与技术，软件工程、计算机应用技术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全日制本科及以上学历，并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已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取得相应学位。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5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4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60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E5C11"/>
    <w:rsid w:val="601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2021-09-06T04:01:00Z</dcterms:created>
  <dc:creator>Administrator</dc:creator>
  <cp:lastModifiedBy>Administrator</cp:lastModifiedBy>
  <dcterms:modified xsi:type="dcterms:W3CDTF">2021-09-06T04:22:01Z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