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佛山市医疗保障局南海分局</w:t>
      </w:r>
      <w:r>
        <w:rPr>
          <w:rFonts w:hint="eastAsia" w:ascii="方正小标宋简体" w:hAnsi="方正小标宋简体" w:eastAsia="方正小标宋简体"/>
          <w:sz w:val="36"/>
          <w:szCs w:val="32"/>
        </w:rPr>
        <w:t>公开招聘机关事业单位辅助工作人员职位表</w:t>
      </w:r>
    </w:p>
    <w:tbl>
      <w:tblPr>
        <w:tblStyle w:val="8"/>
        <w:tblpPr w:leftFromText="180" w:rightFromText="180" w:vertAnchor="text" w:horzAnchor="page" w:tblpX="1281" w:tblpY="151"/>
        <w:tblOverlap w:val="never"/>
        <w:tblW w:w="14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24"/>
        <w:gridCol w:w="1044"/>
        <w:gridCol w:w="1733"/>
        <w:gridCol w:w="2344"/>
        <w:gridCol w:w="840"/>
        <w:gridCol w:w="1185"/>
        <w:gridCol w:w="990"/>
        <w:gridCol w:w="825"/>
        <w:gridCol w:w="231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93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岗位代码</w:t>
            </w:r>
          </w:p>
        </w:tc>
        <w:tc>
          <w:tcPr>
            <w:tcW w:w="122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04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73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位简介</w:t>
            </w:r>
          </w:p>
        </w:tc>
        <w:tc>
          <w:tcPr>
            <w:tcW w:w="234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招聘对象</w:t>
            </w:r>
          </w:p>
        </w:tc>
        <w:tc>
          <w:tcPr>
            <w:tcW w:w="8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118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年龄</w:t>
            </w:r>
          </w:p>
        </w:tc>
        <w:tc>
          <w:tcPr>
            <w:tcW w:w="9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82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学位</w:t>
            </w:r>
          </w:p>
        </w:tc>
        <w:tc>
          <w:tcPr>
            <w:tcW w:w="231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本科专业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10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3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202101</w:t>
            </w:r>
          </w:p>
        </w:tc>
        <w:tc>
          <w:tcPr>
            <w:tcW w:w="122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佛山市医疗保障局南海分局</w:t>
            </w:r>
          </w:p>
        </w:tc>
        <w:tc>
          <w:tcPr>
            <w:tcW w:w="10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业务类岗位辅员</w:t>
            </w:r>
          </w:p>
        </w:tc>
        <w:tc>
          <w:tcPr>
            <w:tcW w:w="173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负责医保数据分析、管理及其他工作</w:t>
            </w:r>
          </w:p>
        </w:tc>
        <w:tc>
          <w:tcPr>
            <w:tcW w:w="23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Cs w:val="32"/>
                <w:lang w:val="en-US" w:eastAsia="zh-CN"/>
              </w:rPr>
              <w:t>社会人员、应届毕业生</w:t>
            </w:r>
          </w:p>
        </w:tc>
        <w:tc>
          <w:tcPr>
            <w:tcW w:w="84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30周岁及以下</w:t>
            </w:r>
          </w:p>
        </w:tc>
        <w:tc>
          <w:tcPr>
            <w:tcW w:w="99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32"/>
                <w:lang w:val="en-US" w:eastAsia="zh-CN" w:bidi="ar-SA"/>
              </w:rPr>
              <w:t>本科</w:t>
            </w:r>
          </w:p>
        </w:tc>
        <w:tc>
          <w:tcPr>
            <w:tcW w:w="82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2"/>
                <w:sz w:val="21"/>
                <w:szCs w:val="32"/>
                <w:lang w:val="en-US" w:eastAsia="zh-CN" w:bidi="ar-SA"/>
              </w:rPr>
              <w:t>学士</w:t>
            </w:r>
          </w:p>
        </w:tc>
        <w:tc>
          <w:tcPr>
            <w:tcW w:w="231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公共卫生与预防医学类（B1007)、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法学（B030101）、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32"/>
                <w:lang w:val="en-US" w:eastAsia="zh-CN" w:bidi="ar-SA"/>
              </w:rPr>
              <w:t>通信工程（B080703）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9.3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学历学位须国家承认，国（境）外学历须提供学历认证；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学科、专业代码及名称参照广东省考试录用公务员专业目录（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eastAsia="zh-CN"/>
        </w:rPr>
        <w:t>2021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</w:rPr>
        <w:t>版）</w:t>
      </w: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  <w:szCs w:val="28"/>
          <w:lang w:val="en-US" w:eastAsia="zh-CN"/>
        </w:rPr>
        <w:t>年龄计算时间30周岁为1990年9月10日后出生；</w:t>
      </w:r>
    </w:p>
    <w:p>
      <w:pPr>
        <w:pStyle w:val="9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7C4881"/>
    <w:multiLevelType w:val="singleLevel"/>
    <w:tmpl w:val="8F7C488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F6285D"/>
    <w:rsid w:val="07491DF4"/>
    <w:rsid w:val="0AA57BD1"/>
    <w:rsid w:val="1668648D"/>
    <w:rsid w:val="1FF64CEF"/>
    <w:rsid w:val="20354D2C"/>
    <w:rsid w:val="21B52515"/>
    <w:rsid w:val="279217B0"/>
    <w:rsid w:val="2FAD1CDA"/>
    <w:rsid w:val="33AB3DD2"/>
    <w:rsid w:val="3EA701CC"/>
    <w:rsid w:val="403D56AF"/>
    <w:rsid w:val="4394021A"/>
    <w:rsid w:val="442859F2"/>
    <w:rsid w:val="4BD4439C"/>
    <w:rsid w:val="4C66353A"/>
    <w:rsid w:val="63473F08"/>
    <w:rsid w:val="64BE5F52"/>
    <w:rsid w:val="665758E2"/>
    <w:rsid w:val="7FB6609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4" w:beforeLines="0" w:after="104" w:afterLines="0"/>
      <w:outlineLvl w:val="2"/>
    </w:pPr>
  </w:style>
  <w:style w:type="character" w:default="1" w:styleId="4">
    <w:name w:val="Default Paragraph Font"/>
    <w:link w:val="5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 Char Char"/>
    <w:basedOn w:val="6"/>
    <w:link w:val="4"/>
    <w:qFormat/>
    <w:uiPriority w:val="0"/>
  </w:style>
  <w:style w:type="paragraph" w:customStyle="1" w:styleId="6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7">
    <w:name w:val="page number"/>
    <w:basedOn w:val="4"/>
    <w:qFormat/>
    <w:uiPriority w:val="0"/>
  </w:style>
  <w:style w:type="paragraph" w:customStyle="1" w:styleId="9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 New New New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严曦</cp:lastModifiedBy>
  <dcterms:modified xsi:type="dcterms:W3CDTF">2021-09-09T09:13:35Z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