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"/>
        </w:tabs>
        <w:spacing w:line="596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96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江北区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2021年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公开招聘教育事业单位工作人员考试新冠肺炎疫情防控须知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考前48小时内新冠肺炎病毒核酸检测阴性报告指参加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sz w:val="32"/>
          <w:szCs w:val="32"/>
        </w:rPr>
        <w:t>日考试的考生需出示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日及以后出具的核酸阴性报告。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（一）考生应认真阅读本防控须知和《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江北区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2021年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下半年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公开招聘教育事业单位工作人员考试新冠肺炎</w:t>
      </w:r>
      <w:r>
        <w:rPr>
          <w:rFonts w:ascii="Times New Roman" w:hAnsi="Times New Roman" w:eastAsia="方正仿宋_GBK" w:cs="Times New Roman"/>
          <w:sz w:val="32"/>
          <w:szCs w:val="32"/>
        </w:rPr>
        <w:t>疫情防控承诺书》。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考生打印准考证即视为认同并签署承诺书。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  <w:bookmarkStart w:id="0" w:name="_GoBack"/>
      <w:bookmarkEnd w:id="0"/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8F"/>
    <w:rsid w:val="00B35844"/>
    <w:rsid w:val="00DC76FF"/>
    <w:rsid w:val="00F6298F"/>
    <w:rsid w:val="19C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259</Words>
  <Characters>1482</Characters>
  <Lines>12</Lines>
  <Paragraphs>3</Paragraphs>
  <TotalTime>1</TotalTime>
  <ScaleCrop>false</ScaleCrop>
  <LinksUpToDate>false</LinksUpToDate>
  <CharactersWithSpaces>1738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2021-09-08T02:52:00Z</dcterms:created>
  <dc:creator>dreamsummit</dc:creator>
  <cp:lastModifiedBy>wanglu</cp:lastModifiedBy>
  <dcterms:modified xsi:type="dcterms:W3CDTF">2021-09-13T01:36:30Z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