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  <w:lang w:eastAsia="zh-CN"/>
        </w:rPr>
        <w:t>武强县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  <w:lang w:eastAsia="zh-CN"/>
        </w:rPr>
        <w:t>事业单位公开招聘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武强县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行程码“绿码”、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72小时内核酸检测阴性证明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考生在参加笔试、资格复审、面试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和选岗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各环节均需服从现场管理，接受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行程码、“河北健康码”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查验及体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温测量等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经现场测温正常后进入考场。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4.考生须听从考点工作人员指挥，分散进入考场，进出考场、如厕时均须与他人保持1米以上距离，避免近距离接触交流。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武强县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准备，考试期间需入住宾馆的，请选择有资质的宾馆，并提前向拟入住宾馆了解疫情防控要求。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特别提示：笔试阶段后，面试、体检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、选岗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各环节，考生均须参照上述防疫要求及相应规定时间内的健康证明材料参加。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武强县人民政府网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QGZR60BAABK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/s8d6cPscakh4Bpabj2Q84c/RGdWfSgwOYvyiEY&#10;xz4fzr2VQyIiP1oulssKQwJj0wVx2MvzADHdSW9JNhoKOLzSU77/HNMpdUrJ1Zy/1cagn9fG/eVA&#10;zOxhmfuJY7bSsBlG4hvfHlBPj3NvqMPFpMTcO2xrXpHJgMnYTMYugN52ZYdyvRiudglJFG65wgl2&#10;LIwDK+rG5cob8fpesl5+gf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UBmUetAQAASg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6626"/>
    <w:rsid w:val="074A195C"/>
    <w:rsid w:val="0CA251FB"/>
    <w:rsid w:val="0DD2009D"/>
    <w:rsid w:val="15750E68"/>
    <w:rsid w:val="228C6996"/>
    <w:rsid w:val="36972D91"/>
    <w:rsid w:val="3D7169BC"/>
    <w:rsid w:val="41C73CA7"/>
    <w:rsid w:val="439455A5"/>
    <w:rsid w:val="45FE07ED"/>
    <w:rsid w:val="5F3E3E0D"/>
    <w:rsid w:val="78F36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亮靓妈</cp:lastModifiedBy>
  <cp:lastPrinted>2021-09-13T07:57:00Z</cp:lastPrinted>
  <dcterms:modified xsi:type="dcterms:W3CDTF">2021-09-30T06:40:23Z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2302E5F622244F10B375DAE3CA529CCE</vt:lpwstr>
  </property>
</Properties>
</file>