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2"/>
          <w:sz w:val="44"/>
          <w:szCs w:val="44"/>
        </w:rPr>
        <w:t>洛宁县202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2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2"/>
          <w:sz w:val="44"/>
          <w:szCs w:val="44"/>
        </w:rPr>
        <w:t>年人才引进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100人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15"/>
          <w:szCs w:val="15"/>
          <w:lang w:eastAsia="zh-CN"/>
        </w:rPr>
      </w:pPr>
    </w:p>
    <w:tbl>
      <w:tblPr>
        <w:tblStyle w:val="4"/>
        <w:tblW w:w="14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46"/>
        <w:gridCol w:w="7480"/>
        <w:gridCol w:w="802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类别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岗位代码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</w:rPr>
              <w:t>学科门类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专业要求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人数（人）</w:t>
            </w:r>
          </w:p>
        </w:tc>
        <w:tc>
          <w:tcPr>
            <w:tcW w:w="3169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研究生学历人才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（县直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30人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01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经济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学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3169" w:type="dxa"/>
            <w:vMerge w:val="restart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联系电话：0379-66232168</w:t>
            </w:r>
          </w:p>
          <w:p>
            <w:pPr>
              <w:spacing w:line="280" w:lineRule="exact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报名邮箱：lnrc2021@163.com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Cs w:val="21"/>
              </w:rPr>
              <w:t>02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法学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Cs w:val="21"/>
              </w:rPr>
              <w:t>03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pacing w:val="-1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文学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tabs>
                <w:tab w:val="left" w:pos="570"/>
              </w:tabs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2104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szCs w:val="21"/>
              </w:rPr>
              <w:t>学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农</w:t>
            </w:r>
            <w:r>
              <w:rPr>
                <w:rFonts w:hint="eastAsia" w:ascii="宋体" w:hAnsi="宋体" w:eastAsia="宋体" w:cs="宋体"/>
                <w:szCs w:val="21"/>
              </w:rPr>
              <w:t>学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2106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管理学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研究生学历人才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（乡镇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专业类别不限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000" w:type="dxa"/>
            <w:vMerge w:val="restart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急需紧缺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本科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学历人才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（县直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30人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2108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经济学、经济统计学、国民经济管理、资源与环境经济学、商务经济学、能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源经济、劳动经济学、经济工程、数字经济、财政学、税收学、金融学、金融工程、保险学、投资学、金融数学、信用管理、经济与金融、精算学、互联网金融、金融科技、国际经济与贸易、贸易经济等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相近专业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16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需为全日制普通高校本科一批次录取的毕业生；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2、取得相应毕业证书、学位证书。</w:t>
            </w:r>
          </w:p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联系电话：0379-66232168</w:t>
            </w: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报名邮箱：lnrc2021@163.com</w:t>
            </w: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2109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工程审计、计算金融、会计学、财务管理、审计学、资产评估、财务会计教育等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相近专业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2110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法学、知识产权、监狱学、信用风险管理与法律防控、国际经贸规则、司法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警察学、社区矫正等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相近专业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2111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新闻学、广播电视学、广告学、传播学、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编辑出版学、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网络与新媒体、数字出版、时尚传播、国际新闻与传播、会展、数字媒体技术、新媒体技术、电影制作等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相近专业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2112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旅游管理、酒店管理、会展经济与管理、旅游管理与服务教育、文化产业管理、市场营销、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考古学、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文物与博物馆学、文物保护技术、文化遗产等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相近专业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2113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计算机科学与技术、软件工程、网络工程、信息安全、物联网工程、智能科学与技术、空间信息与数字技术、电子与计算机工程、数据科学与大数据技术、网络空间安全、保密技术、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服务科学与工程、虚拟现实技术、区块链工程、信息管理与信息系统、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大数据管理与应用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相近专业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2114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电子商务、电子商务及法律、跨境电子商务等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相近专业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2115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环境科学与工程、环境工程、环境科学、环境生态工程、环保设备工程、资源环境科学、水质科学与技术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等相近专业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2116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建筑学、城乡规划、风景园林、历史建筑保护工程、人居环境科学与技术、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城市设计、智慧建筑与建造等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相近专业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2117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能源与动力工程、能源与环境系统工程、新能源科学与工程、储能科学与工程、土木工程、建筑环境与能源应用工程、给排水科学与工程、建筑电气与智能化、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城市地下空间工程、道路桥梁与渡河工程、智能建造、土木、水利与交通工程、水利水电工程、水文与水资源工程、水务工程、水利科学与工程、测绘工程、遥感科学与技术、导航工程、地理国情监测、地理空间信息工程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地质工程、勘查技术与工程、资源勘查工程、地下水科学与工程、旅游地学与规划工程、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采矿工程、矿物加工工程、矿物资源工程、安全工程、应急技术与管理等相近专业</w:t>
            </w:r>
            <w:bookmarkStart w:id="0" w:name="_GoBack"/>
            <w:bookmarkEnd w:id="0"/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教育行业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人才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县属学校20人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2118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汉语言、汉语言文学、古典文献学、中国语言与文化、语言学及应用语言学、学科教学（语文）、汉语言文字学、中国古代文学、中国古典文献学、中国现当代文学、比较文学与世界文学等相近专业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16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本科学历人员需为全日制普通高校本科一批次录取的师范类毕业生；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研究生学历人员研究生阶段专业要与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本科阶段所学专业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一致或相近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3、取得相应毕业证书、学位证书；</w:t>
            </w:r>
          </w:p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相应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学科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初中及以上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教师资格证。</w:t>
            </w:r>
          </w:p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联系电话：0379-66237335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报名邮箱：lnjyrc2021@163.com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2119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数学与应用数学、信息与计算科学、数理基础科学、数据计算及应用、学科教学（数学）、基础数学、计算数学、应用数学、概率论与数理统计、运筹学与控制论等相近专业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2120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英语、翻译、商务英语、学科教学（英语）、英语语言文学等相近专业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2121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化学、应用化学、化学生物学、分子科学与工程、能源化学、无机化学、分析化学、有机化学、物理化学、学科教学（化学）、高分子化学与物理等相近专业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2122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物理学、应用物理学、核物理、系统科学与工程、理论物理、粒子物理与原子核物理、原子与分子物理、学科教学（物理）、等离子体物理、凝聚态物理、声学、光学、无线电物理等相近专业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2123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历史学、世界史、史学理论与史学史、学科教学（历史）、中国古代史、中国近现代史等相近专业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医疗行业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人才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（县属医院及疾控机构10人）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2124</w:t>
            </w:r>
          </w:p>
        </w:tc>
        <w:tc>
          <w:tcPr>
            <w:tcW w:w="748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临床医学、麻醉学、医学影像学、眼视光医学、精神医学、放射医学、儿科学、口腔医学、妇幼保健医学、中医学、中医康复学、中医养生学、中医儿科学、中医骨伤科学、中西医临床医学、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预防医学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食品卫生与营养学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卫生监督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医学检验技术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医学实验技术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3169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1、本科学历人员需为全日制普通高校本科一批次录取的毕业生；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2、研究生学历人员研究生阶段专业要与本科阶段所学专业一致或相近；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3、取得相应</w:t>
            </w: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毕业证书、学位证书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联系电话：0379-62939086</w:t>
            </w:r>
          </w:p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报名邮箱：lnxwsjrsg@126.com</w:t>
            </w:r>
          </w:p>
          <w:p>
            <w:pPr>
              <w:numPr>
                <w:ilvl w:val="0"/>
                <w:numId w:val="0"/>
              </w:numPr>
              <w:spacing w:line="280" w:lineRule="exact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850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51D3E3"/>
    <w:multiLevelType w:val="singleLevel"/>
    <w:tmpl w:val="BE51D3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BD3957"/>
    <w:rsid w:val="05A06899"/>
    <w:rsid w:val="06455E2B"/>
    <w:rsid w:val="069312E4"/>
    <w:rsid w:val="091B372A"/>
    <w:rsid w:val="0DA010A6"/>
    <w:rsid w:val="0DE46362"/>
    <w:rsid w:val="0E1522B1"/>
    <w:rsid w:val="0E236D72"/>
    <w:rsid w:val="167B5100"/>
    <w:rsid w:val="17170DFE"/>
    <w:rsid w:val="1A494129"/>
    <w:rsid w:val="1F2A5073"/>
    <w:rsid w:val="1FE35412"/>
    <w:rsid w:val="21CC044C"/>
    <w:rsid w:val="28564069"/>
    <w:rsid w:val="28964E99"/>
    <w:rsid w:val="2B8E344E"/>
    <w:rsid w:val="307E681F"/>
    <w:rsid w:val="34AE1F69"/>
    <w:rsid w:val="38D446C3"/>
    <w:rsid w:val="3EEB6609"/>
    <w:rsid w:val="41113AC3"/>
    <w:rsid w:val="47F46E76"/>
    <w:rsid w:val="484F71D3"/>
    <w:rsid w:val="49681681"/>
    <w:rsid w:val="49E934B4"/>
    <w:rsid w:val="4C0766AB"/>
    <w:rsid w:val="4E5D6914"/>
    <w:rsid w:val="4E962F79"/>
    <w:rsid w:val="4FC665C7"/>
    <w:rsid w:val="523A39EB"/>
    <w:rsid w:val="54BD05F9"/>
    <w:rsid w:val="55442C5D"/>
    <w:rsid w:val="5A2B690D"/>
    <w:rsid w:val="601050A9"/>
    <w:rsid w:val="60630734"/>
    <w:rsid w:val="6527231C"/>
    <w:rsid w:val="65B8267C"/>
    <w:rsid w:val="6FF33A70"/>
    <w:rsid w:val="7138338B"/>
    <w:rsid w:val="714A112F"/>
    <w:rsid w:val="715E5B03"/>
    <w:rsid w:val="73A073E9"/>
    <w:rsid w:val="74781C26"/>
    <w:rsid w:val="7A9F25E0"/>
    <w:rsid w:val="7C2C5986"/>
    <w:rsid w:val="7C3C4F16"/>
    <w:rsid w:val="7FDC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2021-06-03T01:10:00Z</dcterms:created>
  <dc:creator>江雨</dc:creator>
  <cp:lastModifiedBy>Administrator</cp:lastModifiedBy>
  <cp:lastPrinted>2021-09-28T09:39:00Z</cp:lastPrinted>
  <dcterms:modified xsi:type="dcterms:W3CDTF">2021-10-11T00:06:28Z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8EB9F91635C74E04AC206C87D28C9C4B</vt:lpwstr>
  </property>
</Properties>
</file>