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Lines="0" w:afterLines="0"/>
        <w:jc w:val="both"/>
        <w:rPr>
          <w:rFonts w:hint="eastAsia" w:ascii="Times New Roman" w:hAnsi="Times New Roman" w:eastAsia="黑体" w:cs="Times New Roman"/>
          <w:spacing w:val="-20"/>
          <w:kern w:val="0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20"/>
          <w:kern w:val="0"/>
          <w:sz w:val="32"/>
        </w:rPr>
        <w:t>附件</w:t>
      </w:r>
      <w:r>
        <w:rPr>
          <w:rFonts w:hint="eastAsia" w:ascii="Times New Roman" w:hAnsi="Times New Roman" w:eastAsia="黑体" w:cs="Times New Roman"/>
          <w:spacing w:val="-20"/>
          <w:kern w:val="0"/>
          <w:sz w:val="32"/>
          <w:lang w:val="en-US" w:eastAsia="zh-CN"/>
        </w:rPr>
        <w:t>4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lang w:eastAsia="zh-CN"/>
        </w:rPr>
      </w:pPr>
    </w:p>
    <w:p>
      <w:pPr>
        <w:pStyle w:val="3"/>
        <w:widowControl w:val="0"/>
        <w:spacing w:before="0" w:beforeLines="0" w:beforeAutospacing="0" w:after="0" w:afterLines="0" w:afterAutospacing="0" w:line="460" w:lineRule="exact"/>
        <w:jc w:val="center"/>
        <w:rPr>
          <w:rFonts w:hint="default" w:ascii="Times New Roman" w:hAnsi="Times New Roman" w:eastAsia="方正小标宋简体" w:cs="Times New Roman"/>
          <w:b w:val="0"/>
          <w:color w:val="000000"/>
          <w:sz w:val="40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color w:val="000000"/>
          <w:sz w:val="40"/>
        </w:rPr>
        <w:t>太仓</w:t>
      </w:r>
      <w:r>
        <w:rPr>
          <w:rFonts w:hint="default" w:ascii="Times New Roman" w:hAnsi="Times New Roman" w:eastAsia="方正小标宋简体" w:cs="Times New Roman"/>
          <w:b w:val="0"/>
          <w:color w:val="000000"/>
          <w:sz w:val="40"/>
          <w:lang w:eastAsia="zh-CN"/>
        </w:rPr>
        <w:t>市情概况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</w:rPr>
      </w:pPr>
    </w:p>
    <w:p>
      <w:pPr>
        <w:spacing w:line="580" w:lineRule="exact"/>
        <w:ind w:firstLine="63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</w:rPr>
        <w:t>太仓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</w:rPr>
        <w:t>隶属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于江苏省</w:t>
      </w:r>
      <w:r>
        <w:rPr>
          <w:rFonts w:hint="default" w:ascii="Times New Roman" w:hAnsi="Times New Roman" w:eastAsia="仿宋_GB2312" w:cs="Times New Roman"/>
          <w:sz w:val="32"/>
        </w:rPr>
        <w:t>苏州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</w:rPr>
        <w:t>，东濒长江、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南邻上海，</w:t>
      </w:r>
      <w:r>
        <w:rPr>
          <w:rFonts w:hint="default" w:ascii="Times New Roman" w:hAnsi="Times New Roman" w:eastAsia="仿宋_GB2312" w:cs="Times New Roman"/>
          <w:sz w:val="32"/>
        </w:rPr>
        <w:t>是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省内</w:t>
      </w:r>
      <w:r>
        <w:rPr>
          <w:rFonts w:hint="default" w:ascii="Times New Roman" w:hAnsi="Times New Roman" w:eastAsia="仿宋_GB2312" w:cs="Times New Roman"/>
          <w:sz w:val="32"/>
        </w:rPr>
        <w:t>唯一一个既沿江又临沪的县级市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市域面积810平方公里，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常住人口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超100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万人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下辖国家级太仓港经济技术开发区、省级高新区、科教新城、城厢镇、沙溪镇、浏河镇、浮桥镇、璜泾镇、双凤镇、娄东街道、陆渡街道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素有“锦绣江南金太仓”的美誉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</w:rPr>
      </w:pPr>
      <w:r>
        <w:rPr>
          <w:rFonts w:hint="default" w:ascii="Times New Roman" w:hAnsi="Times New Roman" w:eastAsia="黑体" w:cs="Times New Roman"/>
          <w:kern w:val="0"/>
          <w:sz w:val="32"/>
        </w:rPr>
        <w:t>区位优越，交通</w:t>
      </w:r>
      <w:r>
        <w:rPr>
          <w:rFonts w:hint="default" w:ascii="Times New Roman" w:hAnsi="Times New Roman" w:eastAsia="黑体" w:cs="Times New Roman"/>
          <w:sz w:val="32"/>
          <w:szCs w:val="32"/>
        </w:rPr>
        <w:t>便捷</w:t>
      </w:r>
      <w:r>
        <w:rPr>
          <w:rFonts w:hint="default" w:ascii="Times New Roman" w:hAnsi="Times New Roman" w:eastAsia="黑体" w:cs="Times New Roman"/>
          <w:kern w:val="0"/>
          <w:sz w:val="32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</w:rPr>
        <w:t>太仓地处长江三角洲</w:t>
      </w:r>
      <w:r>
        <w:rPr>
          <w:rFonts w:hint="eastAsia" w:ascii="Times New Roman" w:hAnsi="Times New Roman" w:eastAsia="仿宋_GB2312" w:cs="Times New Roman"/>
          <w:kern w:val="0"/>
          <w:sz w:val="32"/>
          <w:lang w:eastAsia="zh-CN"/>
        </w:rPr>
        <w:t>一小时核心圈</w:t>
      </w:r>
      <w:r>
        <w:rPr>
          <w:rFonts w:hint="default" w:ascii="Times New Roman" w:hAnsi="Times New Roman" w:eastAsia="仿宋_GB2312" w:cs="Times New Roman"/>
          <w:kern w:val="0"/>
          <w:sz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与上海嘉定区、宝山区接壤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</w:rPr>
        <w:t>距上海、苏州市中心均约50公里，是环上海经济圈中区位优势最明显的城市之一。从太仓出发30分钟</w:t>
      </w:r>
      <w:r>
        <w:rPr>
          <w:rFonts w:hint="eastAsia" w:ascii="Times New Roman" w:hAnsi="Times New Roman" w:eastAsia="仿宋_GB2312" w:cs="Times New Roman"/>
          <w:kern w:val="0"/>
          <w:sz w:val="32"/>
          <w:lang w:eastAsia="zh-CN"/>
        </w:rPr>
        <w:t>可达</w:t>
      </w:r>
      <w:r>
        <w:rPr>
          <w:rFonts w:hint="default" w:ascii="Times New Roman" w:hAnsi="Times New Roman" w:eastAsia="仿宋_GB2312" w:cs="Times New Roman"/>
          <w:kern w:val="0"/>
          <w:sz w:val="32"/>
        </w:rPr>
        <w:t>虹桥枢纽，60分钟抵达浦东机场。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沪苏通铁路一期、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沪苏通铁路二期、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南沿江铁路、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北沿江铁路、苏锡常城际铁路，与上海嘉闵线延伸线一起在此交汇，共同构成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“5+1”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铁路网络，</w:t>
      </w:r>
      <w:r>
        <w:rPr>
          <w:rFonts w:hint="default" w:ascii="Times New Roman" w:hAnsi="Times New Roman" w:eastAsia="仿宋_GB2312" w:cs="Times New Roman"/>
          <w:kern w:val="0"/>
          <w:sz w:val="32"/>
        </w:rPr>
        <w:t>其中上海市域铁路嘉闵线，将从</w:t>
      </w:r>
      <w:r>
        <w:rPr>
          <w:rFonts w:hint="default" w:ascii="Times New Roman" w:hAnsi="Times New Roman" w:eastAsia="仿宋_GB2312" w:cs="Times New Roman"/>
          <w:kern w:val="0"/>
          <w:sz w:val="32"/>
          <w:lang w:eastAsia="zh-CN"/>
        </w:rPr>
        <w:t>太仓</w:t>
      </w:r>
      <w:r>
        <w:rPr>
          <w:rFonts w:hint="default" w:ascii="Times New Roman" w:hAnsi="Times New Roman" w:eastAsia="仿宋_GB2312" w:cs="Times New Roman"/>
          <w:kern w:val="0"/>
          <w:sz w:val="32"/>
        </w:rPr>
        <w:t>直达</w:t>
      </w:r>
      <w:r>
        <w:rPr>
          <w:rFonts w:hint="default" w:ascii="Times New Roman" w:hAnsi="Times New Roman" w:eastAsia="仿宋_GB2312" w:cs="Times New Roman"/>
          <w:kern w:val="0"/>
          <w:sz w:val="32"/>
          <w:lang w:eastAsia="zh-CN"/>
        </w:rPr>
        <w:t>虹桥</w:t>
      </w:r>
      <w:r>
        <w:rPr>
          <w:rFonts w:hint="eastAsia" w:ascii="Times New Roman" w:hAnsi="Times New Roman" w:eastAsia="仿宋_GB2312" w:cs="Times New Roman"/>
          <w:kern w:val="0"/>
          <w:sz w:val="32"/>
          <w:lang w:eastAsia="zh-CN"/>
        </w:rPr>
        <w:t>枢纽</w:t>
      </w:r>
      <w:r>
        <w:rPr>
          <w:rFonts w:hint="default" w:ascii="Times New Roman" w:hAnsi="Times New Roman" w:eastAsia="仿宋_GB2312" w:cs="Times New Roman"/>
          <w:kern w:val="0"/>
          <w:sz w:val="32"/>
        </w:rPr>
        <w:t>。</w:t>
      </w:r>
    </w:p>
    <w:p>
      <w:pPr>
        <w:widowControl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</w:rPr>
        <w:t>历史悠久，</w:t>
      </w:r>
      <w:r>
        <w:rPr>
          <w:rFonts w:hint="default" w:ascii="Times New Roman" w:hAnsi="Times New Roman" w:eastAsia="黑体" w:cs="Times New Roman"/>
          <w:sz w:val="32"/>
          <w:szCs w:val="32"/>
        </w:rPr>
        <w:t>人杰地灵</w:t>
      </w:r>
      <w:r>
        <w:rPr>
          <w:rFonts w:hint="default" w:ascii="Times New Roman" w:hAnsi="Times New Roman" w:eastAsia="黑体" w:cs="Times New Roman"/>
          <w:kern w:val="0"/>
          <w:sz w:val="32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</w:rPr>
        <w:t>太仓因春秋时期吴王在此设立粮仓而得名，是著名航海家郑和七下西洋起锚地，也是江南丝竹发源地、娄东文化发祥地</w:t>
      </w:r>
      <w:r>
        <w:rPr>
          <w:rFonts w:hint="default" w:ascii="Times New Roman" w:hAnsi="Times New Roman" w:eastAsia="仿宋_GB2312" w:cs="Times New Roman"/>
          <w:kern w:val="0"/>
          <w:sz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培育出了</w:t>
      </w:r>
      <w:r>
        <w:rPr>
          <w:rFonts w:hint="default" w:ascii="Times New Roman" w:hAnsi="Times New Roman" w:eastAsia="仿宋_GB2312" w:cs="Times New Roman"/>
          <w:kern w:val="0"/>
          <w:sz w:val="32"/>
        </w:rPr>
        <w:t>王世贞、张溥、吴梅村等文学大家和以“四王”为代表的“娄东画派”。</w:t>
      </w:r>
      <w:r>
        <w:rPr>
          <w:rFonts w:hint="default" w:ascii="Times New Roman" w:hAnsi="Times New Roman" w:eastAsia="仿宋_GB2312" w:cs="Times New Roman"/>
          <w:sz w:val="32"/>
        </w:rPr>
        <w:t>走出了被誉为“中国居里夫人”的吴健雄</w:t>
      </w:r>
      <w:r>
        <w:rPr>
          <w:rFonts w:hint="default" w:ascii="Times New Roman" w:hAnsi="Times New Roman" w:eastAsia="仿宋_GB2312" w:cs="Times New Roman"/>
          <w:kern w:val="0"/>
          <w:sz w:val="32"/>
        </w:rPr>
        <w:t>，诺贝尔物理学奖获得者朱棣文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以及唐孝威、杨胜利等1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位院士</w:t>
      </w:r>
      <w:r>
        <w:rPr>
          <w:rFonts w:hint="default" w:ascii="Times New Roman" w:hAnsi="Times New Roman" w:eastAsia="仿宋_GB2312" w:cs="Times New Roman"/>
          <w:kern w:val="0"/>
          <w:sz w:val="32"/>
        </w:rPr>
        <w:t>。</w:t>
      </w:r>
      <w:r>
        <w:rPr>
          <w:rFonts w:hint="default" w:ascii="Times New Roman" w:hAnsi="Times New Roman" w:eastAsia="仿宋_GB2312" w:cs="Times New Roman"/>
          <w:sz w:val="32"/>
        </w:rPr>
        <w:t>太仓创新活力无限，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西北工业大学和西交利物浦大学太仓校区建成后，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将有超过1.5万名学生在此学习生活。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</w:rPr>
        <w:t>经济繁荣，特色显著</w:t>
      </w:r>
      <w:r>
        <w:rPr>
          <w:rFonts w:hint="default" w:ascii="Times New Roman" w:hAnsi="Times New Roman" w:eastAsia="仿宋_GB2312" w:cs="Times New Roman"/>
          <w:sz w:val="32"/>
        </w:rPr>
        <w:t>。20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</w:rPr>
        <w:t>年太仓地区生产总值1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386</w:t>
      </w:r>
      <w:r>
        <w:rPr>
          <w:rFonts w:hint="default" w:ascii="Times New Roman" w:hAnsi="Times New Roman" w:eastAsia="仿宋_GB2312" w:cs="Times New Roman"/>
          <w:sz w:val="32"/>
        </w:rPr>
        <w:t>亿元，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一般公共预算收入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171.1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位列全国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县域经济综合竞争力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百强县第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位、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县级市全面小康指数第三位。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作为国家一类口岸的太仓港，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是长江第一大港，吞吐量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位居全球百强集装箱港口第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位</w:t>
      </w:r>
      <w:r>
        <w:rPr>
          <w:rFonts w:hint="default" w:ascii="Times New Roman" w:hAnsi="Times New Roman" w:eastAsia="仿宋_GB2312" w:cs="Times New Roman"/>
          <w:kern w:val="0"/>
          <w:sz w:val="32"/>
        </w:rPr>
        <w:t>。</w:t>
      </w:r>
      <w:r>
        <w:rPr>
          <w:rFonts w:hint="default" w:ascii="Times New Roman" w:hAnsi="Times New Roman" w:eastAsia="仿宋_GB2312" w:cs="Times New Roman"/>
          <w:sz w:val="32"/>
        </w:rPr>
        <w:t>作为国内集聚德资企业最多、效益最优的县级市，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近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400</w:t>
      </w:r>
      <w:r>
        <w:rPr>
          <w:rFonts w:hint="default" w:ascii="Times New Roman" w:hAnsi="Times New Roman" w:eastAsia="仿宋_GB2312" w:cs="Times New Roman"/>
          <w:sz w:val="32"/>
        </w:rPr>
        <w:t>家德资企业在太仓聚集发展，被誉为“中国德企之乡”。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上海世界外国语学校、瑞金医院太仓分院等纷纷落户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沪太同城化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加快推进，“上海下一站、下一站上海”城市标识内涵不断丰富。</w:t>
      </w:r>
    </w:p>
    <w:p>
      <w:pPr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精致典雅</w:t>
      </w:r>
      <w:r>
        <w:rPr>
          <w:rFonts w:hint="default" w:ascii="Times New Roman" w:hAnsi="Times New Roman" w:eastAsia="黑体" w:cs="Times New Roman"/>
          <w:sz w:val="32"/>
        </w:rPr>
        <w:t>，</w:t>
      </w:r>
      <w:r>
        <w:rPr>
          <w:rFonts w:hint="default" w:ascii="Times New Roman" w:hAnsi="Times New Roman" w:eastAsia="黑体" w:cs="Times New Roman"/>
          <w:sz w:val="32"/>
          <w:szCs w:val="32"/>
        </w:rPr>
        <w:t>生态宜居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napToGrid w:val="0"/>
          <w:spacing w:val="-4"/>
          <w:kern w:val="0"/>
          <w:sz w:val="32"/>
        </w:rPr>
        <w:t>太仓</w:t>
      </w:r>
      <w:r>
        <w:rPr>
          <w:rFonts w:hint="default" w:ascii="Times New Roman" w:hAnsi="Times New Roman" w:eastAsia="仿宋_GB2312" w:cs="Times New Roman"/>
          <w:sz w:val="32"/>
        </w:rPr>
        <w:t>拥有江南水乡的精致典雅和现代城市的舒适便捷，现代田园城市特色明显，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总面积50平方公里的娄江新城全面起势，</w:t>
      </w:r>
      <w:r>
        <w:rPr>
          <w:rFonts w:hint="default" w:ascii="Times New Roman" w:hAnsi="Times New Roman" w:eastAsia="仿宋_GB2312" w:cs="Times New Roman"/>
          <w:sz w:val="32"/>
        </w:rPr>
        <w:t>“一心两湖三环四园”城市生态体系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基本形成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均公园绿地面积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平方米，空气质量优良天数比率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5.2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%。</w:t>
      </w:r>
      <w:r>
        <w:rPr>
          <w:rFonts w:hint="default" w:ascii="Times New Roman" w:hAnsi="Times New Roman" w:eastAsia="仿宋_GB2312" w:cs="Times New Roman"/>
          <w:sz w:val="32"/>
        </w:rPr>
        <w:t>“政社互动”、大病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再</w:t>
      </w:r>
      <w:r>
        <w:rPr>
          <w:rFonts w:hint="default" w:ascii="Times New Roman" w:hAnsi="Times New Roman" w:eastAsia="仿宋_GB2312" w:cs="Times New Roman"/>
          <w:sz w:val="32"/>
        </w:rPr>
        <w:t>保险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养老服务</w:t>
      </w:r>
      <w:r>
        <w:rPr>
          <w:rFonts w:hint="default" w:ascii="Times New Roman" w:hAnsi="Times New Roman" w:eastAsia="仿宋_GB2312" w:cs="Times New Roman"/>
          <w:sz w:val="32"/>
        </w:rPr>
        <w:t>等工作走在全国前列，是长三角首个富裕型长寿之乡，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获评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全国文明城市、国家生态园林城市、国家生态文明建设示范市、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全国综治最高奖“长安杯”，连续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年位居中国最具幸福感城市县级市首位。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96A9B"/>
    <w:rsid w:val="4D096A9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uiPriority w:val="0"/>
    <w:pPr>
      <w:jc w:val="center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2021-10-11T06:23:00Z</dcterms:created>
  <dc:creator>user</dc:creator>
  <cp:lastModifiedBy>user</cp:lastModifiedBy>
  <dcterms:modified xsi:type="dcterms:W3CDTF">2021-10-11T06:25:54Z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