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佛山市南海区发展和改革局</w:t>
      </w:r>
      <w:r>
        <w:rPr>
          <w:rFonts w:hint="eastAsia" w:ascii="方正小标宋简体" w:hAnsi="方正小标宋简体" w:eastAsia="方正小标宋简体"/>
          <w:sz w:val="36"/>
          <w:szCs w:val="32"/>
        </w:rPr>
        <w:t>公开招聘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机关事业单位</w:t>
      </w:r>
      <w:r>
        <w:rPr>
          <w:rFonts w:hint="eastAsia" w:ascii="方正小标宋简体" w:hAnsi="方正小标宋简体" w:eastAsia="方正小标宋简体"/>
          <w:sz w:val="36"/>
          <w:szCs w:val="32"/>
        </w:rPr>
        <w:t>辅助工作人员职位表</w:t>
      </w:r>
    </w:p>
    <w:tbl>
      <w:tblPr>
        <w:tblStyle w:val="8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765"/>
        <w:gridCol w:w="885"/>
        <w:gridCol w:w="1410"/>
        <w:gridCol w:w="794"/>
        <w:gridCol w:w="915"/>
        <w:gridCol w:w="810"/>
        <w:gridCol w:w="870"/>
        <w:gridCol w:w="1921"/>
        <w:gridCol w:w="2279"/>
        <w:gridCol w:w="87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招聘职位代码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研究生专业名称及代码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本科专业名称及代码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南海区发展和改革局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FG002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办公室辅员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从事办公室行政事务及公文写作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年龄35周岁以下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9.3起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说明：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年龄计算时间为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1985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年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月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日后出生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723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学历学位须国家承认，国（境）外学历须提供学历认证；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723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学科、专业代码及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名称参照广东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省考试录用公务员专业目录（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2021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版）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D2BD0"/>
    <w:rsid w:val="06CF00E0"/>
    <w:rsid w:val="503D2B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"/>
    <w:basedOn w:val="6"/>
    <w:link w:val="4"/>
    <w:uiPriority w:val="0"/>
    <w:pPr>
      <w:tabs>
        <w:tab w:val="left" w:pos="425"/>
      </w:tabs>
      <w:ind w:left="425" w:hanging="425"/>
    </w:pPr>
  </w:style>
  <w:style w:type="paragraph" w:customStyle="1" w:styleId="6">
    <w:name w:val="正文 New New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styleId="7">
    <w:name w:val="page number"/>
    <w:basedOn w:val="4"/>
    <w:uiPriority w:val="0"/>
  </w:style>
  <w:style w:type="paragraph" w:customStyle="1" w:styleId="9">
    <w:name w:val="正文 New New New New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区发展规划和统计局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2021-10-12T07:57:00Z</dcterms:created>
  <dc:creator>唐伟坚</dc:creator>
  <cp:lastModifiedBy>唐伟坚</cp:lastModifiedBy>
  <dcterms:modified xsi:type="dcterms:W3CDTF">2021-10-12T08:13:03Z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