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河南科技职业大学202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二批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引进计划一览表</w:t>
      </w:r>
    </w:p>
    <w:tbl>
      <w:tblPr>
        <w:tblStyle w:val="3"/>
        <w:tblW w:w="10215" w:type="dxa"/>
        <w:tblInd w:w="-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0"/>
        <w:gridCol w:w="660"/>
        <w:gridCol w:w="2835"/>
        <w:gridCol w:w="2490"/>
        <w:gridCol w:w="795"/>
        <w:gridCol w:w="102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5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高校教师01岗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临床医学类、护理学类、口腔医学类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孟老师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0394-8318878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17339582569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"mailto:514211130@qq.com"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single"/>
              </w:rPr>
              <w:t>514211130@qq.com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t>hkzdrsc@126.com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高校教师02岗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高校教师03岗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针灸推拿学、康复医学与理疗学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高校教师04岗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高校教师05岗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影像医学与核医学、临床检验诊断学  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高校教师06岗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计算机科学与技术、计算机软件与理论 、计算机应用技术、计算机系统结构、网络工程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高校教师07岗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信息与通信工程、通信与信息系统、信号与信息处理、电子与通信工程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高校教师08岗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智能制造、智能制造工程、智能制造与机器人、机械电子工程、测试计量技术及仪器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高校教师09岗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工业过程、工业设计、工业过程与设计、工业与系统工程、机械工程、机械设计及理论、机械制造及其自动化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高校教师10岗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电器、电力系统及其自动化、高电压与绝缘技术、电力电子与电力传动、电工理论与新技术、电气工程、电力系统及智能控制、光电系统与控制、机电一体化理论及其应用、机器人科学与工程、控制科学与工程、控制工程、控制理论与控制工程、人工智能、人工智能技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高校教师11岗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土木工程、结构工程、防灾与减灾工程、建筑与土木工程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高校教师12岗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工程造价、工程管理相关专业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高校教师13岗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高校教师14岗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建筑设计及其理论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高校教师15岗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高校教师16岗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音乐（钢琴）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高校教师17岗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音乐（合唱指挥）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高校教师18岗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高校教师19岗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高校教师20岗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经济金融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高校教师21岗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工商管理、企业经济与管理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高校教师22岗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数学、基础数学、应用数学、统计学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高校教师23岗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外国语言学及应用语言学、英语笔译、学科教学（英语）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高校教师24岗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体育教育训练学、体育学、体育教学、民族传统体育学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高校教师25岗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思政相关专业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高校教师26岗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或副高级以上职称均可报名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ind w:left="-210" w:leftChars="-100" w:right="-210" w:rightChars="-100" w:firstLine="0" w:firstLineChars="0"/>
        <w:rPr>
          <w:rFonts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918E1"/>
    <w:rsid w:val="324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2021-10-18T10:02:00Z</dcterms:created>
  <dc:creator>Lenovo</dc:creator>
  <cp:lastModifiedBy>Lenovo</cp:lastModifiedBy>
  <dcterms:modified xsi:type="dcterms:W3CDTF">2021-10-18T10:03:06Z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D7542116052844C18A9B55FD4D6BBDAC</vt:lpwstr>
  </property>
</Properties>
</file>