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tbl>
      <w:tblPr>
        <w:tblStyle w:val="5"/>
        <w:tblW w:w="139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891"/>
        <w:gridCol w:w="1419"/>
        <w:gridCol w:w="1446"/>
        <w:gridCol w:w="2775"/>
        <w:gridCol w:w="1665"/>
        <w:gridCol w:w="112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9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</w:rPr>
              <w:t>阳泉市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  <w:lang w:eastAsia="zh-CN"/>
              </w:rPr>
              <w:t>人大常委会</w:t>
            </w:r>
            <w:r>
              <w:rPr>
                <w:rStyle w:val="7"/>
                <w:rFonts w:cs="宋体"/>
                <w:sz w:val="36"/>
                <w:szCs w:val="36"/>
              </w:rPr>
              <w:t>2021</w:t>
            </w:r>
            <w:r>
              <w:rPr>
                <w:rStyle w:val="7"/>
                <w:rFonts w:hint="eastAsia" w:cs="宋体"/>
                <w:sz w:val="36"/>
                <w:szCs w:val="36"/>
              </w:rPr>
              <w:t>年事业单位公开招聘工作人员岗位表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阳泉市人大代表联络服务中心（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阳泉市人大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常委会机关信息中心）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管理岗位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计算机类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(0809)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法学(030101K)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left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计算机科学与技术(0812)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lef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法学(0301)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法律硕士（法学）(035102)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需常值夜班、出差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应届高校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毕业生岗位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阳泉市人大常委会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预算管理中心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left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经济学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left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工商管理类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(1202)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应用经济学(0202)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审计(0257)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会计学(120201)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需常值夜班、出差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阳泉市人大常委会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预算管理中心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计算机类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(0809)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法学(030101K)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left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计算机科学与技术(0812)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法学(0301)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400" w:firstLineChars="200"/>
              <w:jc w:val="both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法律硕士（法学）(035102)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需常值夜班、出差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</w:tbl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474" w:right="1418" w:bottom="1588" w:left="1418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410"/>
    <w:rsid w:val="1BC7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0"/>
    <w:pPr>
      <w:widowControl/>
      <w:spacing w:after="160" w:afterLines="0" w:line="240" w:lineRule="exact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basedOn w:val="6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2021-10-22T02:12:00Z</dcterms:created>
  <dc:creator>琴★</dc:creator>
  <cp:lastModifiedBy>琴★</cp:lastModifiedBy>
  <dcterms:modified xsi:type="dcterms:W3CDTF">2021-10-22T02:13:13Z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F936F1E479A44A07A02AFAEFFD5523A3</vt:lpwstr>
  </property>
</Properties>
</file>