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3" w:lineRule="atLeast"/>
        <w:jc w:val="left"/>
        <w:rPr>
          <w:rFonts w:hint="eastAsia" w:ascii="宋体" w:hAnsi="宋体" w:cs="宋体"/>
          <w:b/>
          <w:bCs/>
          <w:kern w:val="0"/>
          <w:sz w:val="28"/>
          <w:szCs w:val="28"/>
          <w:shd w:val="clear" w:color="auto" w:fill="FFFFFF"/>
          <w:lang w:bidi="ar"/>
        </w:rPr>
      </w:pPr>
      <w:r>
        <w:rPr>
          <w:rFonts w:hint="eastAsia" w:ascii="宋体" w:hAnsi="宋体" w:cs="宋体"/>
          <w:b/>
          <w:bCs/>
          <w:kern w:val="0"/>
          <w:sz w:val="28"/>
          <w:szCs w:val="28"/>
          <w:shd w:val="clear" w:color="auto" w:fill="FFFFFF"/>
          <w:lang w:bidi="ar"/>
        </w:rPr>
        <w:t>附件1：</w:t>
      </w:r>
    </w:p>
    <w:p>
      <w:pPr>
        <w:widowControl/>
        <w:shd w:val="clear" w:color="auto" w:fill="FFFFFF"/>
        <w:spacing w:line="243" w:lineRule="atLeast"/>
        <w:jc w:val="center"/>
        <w:rPr>
          <w:rFonts w:hint="eastAsia" w:ascii="宋体" w:hAnsi="宋体" w:eastAsia="宋体" w:cs="宋体"/>
          <w:b/>
          <w:bCs/>
          <w:kern w:val="0"/>
          <w:sz w:val="28"/>
          <w:szCs w:val="28"/>
          <w:shd w:val="clear" w:color="auto" w:fill="FFFFFF"/>
          <w:lang w:val="en-US" w:eastAsia="zh-CN" w:bidi="ar"/>
        </w:rPr>
      </w:pPr>
      <w:r>
        <w:rPr>
          <w:rFonts w:hint="eastAsia" w:ascii="宋体"/>
          <w:b/>
          <w:sz w:val="32"/>
          <w:szCs w:val="32"/>
        </w:rPr>
        <w:t>2022年东阳中学自主招聘计划</w:t>
      </w:r>
    </w:p>
    <w:p>
      <w:pPr>
        <w:jc w:val="left"/>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bCs/>
          <w:sz w:val="28"/>
          <w:szCs w:val="28"/>
          <w:lang w:val="en-US" w:eastAsia="zh-CN"/>
        </w:rPr>
        <w:t>一、教育教学岗位（14名）</w:t>
      </w:r>
    </w:p>
    <w:tbl>
      <w:tblPr>
        <w:tblStyle w:val="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712"/>
        <w:gridCol w:w="550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16" w:type="dxa"/>
            <w:noWrap w:val="0"/>
            <w:vAlign w:val="center"/>
          </w:tcPr>
          <w:p>
            <w:p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招聘岗位</w:t>
            </w:r>
          </w:p>
        </w:tc>
        <w:tc>
          <w:tcPr>
            <w:tcW w:w="712" w:type="dxa"/>
            <w:noWrap w:val="0"/>
            <w:vAlign w:val="center"/>
          </w:tcPr>
          <w:p>
            <w:p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人数</w:t>
            </w:r>
          </w:p>
        </w:tc>
        <w:tc>
          <w:tcPr>
            <w:tcW w:w="5500" w:type="dxa"/>
            <w:noWrap w:val="0"/>
            <w:vAlign w:val="center"/>
          </w:tcPr>
          <w:p>
            <w:p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专业要求</w:t>
            </w:r>
          </w:p>
        </w:tc>
        <w:tc>
          <w:tcPr>
            <w:tcW w:w="1516" w:type="dxa"/>
            <w:noWrap w:val="0"/>
            <w:vAlign w:val="center"/>
          </w:tcPr>
          <w:p>
            <w:pPr>
              <w:jc w:val="center"/>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语文</w:t>
            </w:r>
          </w:p>
        </w:tc>
        <w:tc>
          <w:tcPr>
            <w:tcW w:w="712" w:type="dxa"/>
            <w:noWrap w:val="0"/>
            <w:vAlign w:val="center"/>
          </w:tcPr>
          <w:p>
            <w:pPr>
              <w:jc w:val="center"/>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2</w:t>
            </w:r>
          </w:p>
        </w:tc>
        <w:tc>
          <w:tcPr>
            <w:tcW w:w="5500" w:type="dxa"/>
            <w:noWrap w:val="0"/>
            <w:vAlign w:val="center"/>
          </w:tcPr>
          <w:p>
            <w:pPr>
              <w:jc w:val="both"/>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汉语言文学、汉语言</w:t>
            </w:r>
          </w:p>
        </w:tc>
        <w:tc>
          <w:tcPr>
            <w:tcW w:w="1516" w:type="dxa"/>
            <w:vMerge w:val="restart"/>
            <w:noWrap w:val="0"/>
            <w:vAlign w:val="center"/>
          </w:tcPr>
          <w:p>
            <w:pPr>
              <w:jc w:val="left"/>
              <w:rPr>
                <w:rFonts w:hint="eastAsia" w:ascii="华文仿宋" w:hAnsi="华文仿宋" w:eastAsia="华文仿宋" w:cs="华文仿宋"/>
                <w:b/>
                <w:bCs/>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专业对口且满足其中一条即可：</w:t>
            </w:r>
          </w:p>
          <w:p>
            <w:pPr>
              <w:jc w:val="left"/>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1.2022届全日制硕士、博士应届毕业生；</w:t>
            </w:r>
          </w:p>
          <w:p>
            <w:pPr>
              <w:jc w:val="left"/>
              <w:rPr>
                <w:rFonts w:hint="eastAsia" w:ascii="华文仿宋" w:hAnsi="华文仿宋" w:eastAsia="华文仿宋" w:cs="华文仿宋"/>
                <w:sz w:val="24"/>
                <w:szCs w:val="24"/>
                <w:vertAlign w:val="baseline"/>
                <w:lang w:val="en-US" w:eastAsia="zh-CN"/>
              </w:rPr>
            </w:pPr>
          </w:p>
          <w:p>
            <w:pPr>
              <w:jc w:val="left"/>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2.2022届“双一流”</w:t>
            </w:r>
            <w:r>
              <w:rPr>
                <w:rFonts w:hint="eastAsia" w:ascii="华文仿宋" w:hAnsi="华文仿宋" w:eastAsia="华文仿宋" w:cs="华文仿宋"/>
                <w:sz w:val="24"/>
                <w:szCs w:val="24"/>
                <w:highlight w:val="none"/>
                <w:vertAlign w:val="baseline"/>
                <w:lang w:val="en-US" w:eastAsia="zh-CN"/>
              </w:rPr>
              <w:t>或</w:t>
            </w:r>
            <w:r>
              <w:rPr>
                <w:rFonts w:hint="eastAsia" w:ascii="华文仿宋" w:hAnsi="华文仿宋" w:eastAsia="华文仿宋" w:cs="华文仿宋"/>
                <w:sz w:val="24"/>
                <w:szCs w:val="24"/>
                <w:vertAlign w:val="baseline"/>
                <w:lang w:val="en-US" w:eastAsia="zh-CN"/>
              </w:rPr>
              <w:t>省重点师范高校全日制本科优秀毕业生。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数学</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2</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数学与应用数学、数理基础科学、信息与计算科学</w:t>
            </w:r>
          </w:p>
        </w:tc>
        <w:tc>
          <w:tcPr>
            <w:tcW w:w="1516" w:type="dxa"/>
            <w:vMerge w:val="continue"/>
            <w:noWrap w:val="0"/>
            <w:vAlign w:val="center"/>
          </w:tcPr>
          <w:p>
            <w:pPr>
              <w:jc w:val="center"/>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英语</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1</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英语、翻译</w:t>
            </w:r>
          </w:p>
        </w:tc>
        <w:tc>
          <w:tcPr>
            <w:tcW w:w="1516" w:type="dxa"/>
            <w:vMerge w:val="continue"/>
            <w:noWrap w:val="0"/>
            <w:vAlign w:val="center"/>
          </w:tcPr>
          <w:p>
            <w:pPr>
              <w:jc w:val="center"/>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物理</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2</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物理学、应用物理学</w:t>
            </w:r>
          </w:p>
        </w:tc>
        <w:tc>
          <w:tcPr>
            <w:tcW w:w="1516" w:type="dxa"/>
            <w:vMerge w:val="continue"/>
            <w:noWrap w:val="0"/>
            <w:vAlign w:val="center"/>
          </w:tcPr>
          <w:p>
            <w:pPr>
              <w:jc w:val="center"/>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化学</w:t>
            </w:r>
          </w:p>
        </w:tc>
        <w:tc>
          <w:tcPr>
            <w:tcW w:w="712" w:type="dxa"/>
            <w:noWrap w:val="0"/>
            <w:vAlign w:val="center"/>
          </w:tcPr>
          <w:p>
            <w:pPr>
              <w:jc w:val="center"/>
              <w:rPr>
                <w:rFonts w:hint="eastAsia" w:ascii="华文仿宋" w:hAnsi="华文仿宋" w:eastAsia="华文仿宋" w:cs="华文仿宋"/>
                <w:b/>
                <w:bCs/>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1</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化学、应用化学、化学工程与工艺</w:t>
            </w:r>
          </w:p>
        </w:tc>
        <w:tc>
          <w:tcPr>
            <w:tcW w:w="1516" w:type="dxa"/>
            <w:vMerge w:val="continue"/>
            <w:noWrap w:val="0"/>
            <w:vAlign w:val="center"/>
          </w:tcPr>
          <w:p>
            <w:pPr>
              <w:jc w:val="center"/>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政治</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1</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思想政治教育、政治学类、政治学与行政学</w:t>
            </w:r>
          </w:p>
        </w:tc>
        <w:tc>
          <w:tcPr>
            <w:tcW w:w="1516" w:type="dxa"/>
            <w:vMerge w:val="continue"/>
            <w:noWrap w:val="0"/>
            <w:vAlign w:val="center"/>
          </w:tcPr>
          <w:p>
            <w:pPr>
              <w:jc w:val="center"/>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历史</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1</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历史学、世界史</w:t>
            </w:r>
          </w:p>
        </w:tc>
        <w:tc>
          <w:tcPr>
            <w:tcW w:w="1516" w:type="dxa"/>
            <w:vMerge w:val="continue"/>
            <w:noWrap w:val="0"/>
            <w:vAlign w:val="center"/>
          </w:tcPr>
          <w:p>
            <w:pPr>
              <w:jc w:val="center"/>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地理</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1</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天文学、大气科学、应用气象学、地理科学、自然地理与资源环境、人文地理与城乡规划、地理信息科学</w:t>
            </w:r>
          </w:p>
        </w:tc>
        <w:tc>
          <w:tcPr>
            <w:tcW w:w="1516" w:type="dxa"/>
            <w:vMerge w:val="continue"/>
            <w:noWrap w:val="0"/>
            <w:vAlign w:val="center"/>
          </w:tcPr>
          <w:p>
            <w:pPr>
              <w:jc w:val="left"/>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技术</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2</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智能科学与技术、机械工程、电子科学与技术、机械设计制造及其自动化、教育技术学、计算机科学与技术</w:t>
            </w:r>
          </w:p>
        </w:tc>
        <w:tc>
          <w:tcPr>
            <w:tcW w:w="1516" w:type="dxa"/>
            <w:vMerge w:val="continue"/>
            <w:noWrap w:val="0"/>
            <w:vAlign w:val="center"/>
          </w:tcPr>
          <w:p>
            <w:pPr>
              <w:jc w:val="left"/>
              <w:rPr>
                <w:rFonts w:hint="eastAsia" w:ascii="华文仿宋" w:hAnsi="华文仿宋" w:eastAsia="华文仿宋" w:cs="华文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16"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体育</w:t>
            </w:r>
          </w:p>
        </w:tc>
        <w:tc>
          <w:tcPr>
            <w:tcW w:w="712" w:type="dxa"/>
            <w:noWrap w:val="0"/>
            <w:vAlign w:val="center"/>
          </w:tcPr>
          <w:p>
            <w:pPr>
              <w:jc w:val="center"/>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1</w:t>
            </w:r>
          </w:p>
        </w:tc>
        <w:tc>
          <w:tcPr>
            <w:tcW w:w="5500" w:type="dxa"/>
            <w:noWrap w:val="0"/>
            <w:vAlign w:val="center"/>
          </w:tcPr>
          <w:p>
            <w:pPr>
              <w:jc w:val="both"/>
              <w:rPr>
                <w:rFonts w:hint="eastAsia" w:ascii="华文仿宋" w:hAnsi="华文仿宋" w:eastAsia="华文仿宋" w:cs="华文仿宋"/>
                <w:kern w:val="2"/>
                <w:sz w:val="24"/>
                <w:szCs w:val="24"/>
                <w:vertAlign w:val="baseline"/>
                <w:lang w:val="en-US" w:eastAsia="zh-CN" w:bidi="ar-SA"/>
              </w:rPr>
            </w:pPr>
            <w:r>
              <w:rPr>
                <w:rFonts w:hint="eastAsia" w:ascii="华文仿宋" w:hAnsi="华文仿宋" w:eastAsia="华文仿宋" w:cs="华文仿宋"/>
                <w:sz w:val="24"/>
                <w:szCs w:val="24"/>
                <w:vertAlign w:val="baseline"/>
                <w:lang w:val="en-US" w:eastAsia="zh-CN"/>
              </w:rPr>
              <w:t>体育教育、休闲体育、社会体育指导与管理（足球专项优先）</w:t>
            </w:r>
          </w:p>
        </w:tc>
        <w:tc>
          <w:tcPr>
            <w:tcW w:w="1516" w:type="dxa"/>
            <w:vMerge w:val="continue"/>
            <w:noWrap w:val="0"/>
            <w:vAlign w:val="center"/>
          </w:tcPr>
          <w:p>
            <w:pPr>
              <w:jc w:val="left"/>
              <w:rPr>
                <w:rFonts w:hint="eastAsia" w:ascii="华文仿宋" w:hAnsi="华文仿宋" w:eastAsia="华文仿宋" w:cs="华文仿宋"/>
                <w:sz w:val="24"/>
                <w:szCs w:val="24"/>
                <w:vertAlign w:val="baseline"/>
                <w:lang w:val="en-US" w:eastAsia="zh-CN"/>
              </w:rPr>
            </w:pPr>
          </w:p>
        </w:tc>
      </w:tr>
    </w:tbl>
    <w:p>
      <w:pPr>
        <w:rPr>
          <w:rFonts w:hint="eastAsia" w:ascii="华文仿宋" w:hAnsi="华文仿宋" w:eastAsia="华文仿宋" w:cs="华文仿宋"/>
          <w:sz w:val="24"/>
          <w:szCs w:val="24"/>
          <w:lang w:val="en-US" w:eastAsia="zh-CN"/>
        </w:rPr>
      </w:pPr>
    </w:p>
    <w:p>
      <w:pPr>
        <w:numPr>
          <w:ilvl w:val="0"/>
          <w:numId w:val="0"/>
        </w:numPr>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二、学科竞赛教练岗位（4名）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lang w:val="en-US" w:eastAsia="zh-CN"/>
        </w:rPr>
        <w:t>1.数学、物理、化学、信息学科竞赛教练各1名；</w:t>
      </w:r>
    </w:p>
    <w:p>
      <w:pPr>
        <w:widowControl/>
        <w:shd w:val="clear" w:color="auto" w:fill="FFFFFF"/>
        <w:spacing w:line="243" w:lineRule="atLeast"/>
        <w:jc w:val="left"/>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b/>
          <w:bCs/>
          <w:sz w:val="24"/>
          <w:szCs w:val="24"/>
          <w:vertAlign w:val="baseline"/>
          <w:lang w:val="en-US" w:eastAsia="zh-CN"/>
        </w:rPr>
        <w:t>2.资格条件：</w:t>
      </w:r>
      <w:r>
        <w:rPr>
          <w:rFonts w:hint="eastAsia" w:ascii="华文仿宋" w:hAnsi="华文仿宋" w:eastAsia="华文仿宋" w:cs="华文仿宋"/>
          <w:sz w:val="24"/>
          <w:szCs w:val="24"/>
          <w:vertAlign w:val="baseline"/>
          <w:lang w:val="en-US" w:eastAsia="zh-CN"/>
        </w:rPr>
        <w:t>应届毕业生除符合上述相应条件外，需在高中阶段获该学科奥林匹克竞赛全国联赛赛区二等奖及以上成绩。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54448"/>
    <w:rsid w:val="10E5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2021-10-26T09:11:00Z</dcterms:created>
  <dc:creator>Lenovo</dc:creator>
  <cp:lastModifiedBy>Lenovo</cp:lastModifiedBy>
  <dcterms:modified xsi:type="dcterms:W3CDTF">2021-10-26T09:13:32Z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060DD6EE32FE47CC81E5092EEE1F15E6</vt:lpwstr>
  </property>
</Properties>
</file>