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附件2</w:t>
      </w:r>
    </w:p>
    <w:p>
      <w:pPr>
        <w:jc w:val="center"/>
        <w:rPr>
          <w:rFonts w:hint="eastAsia" w:ascii="方正小标宋简体" w:hAnsi="宋体" w:eastAsia="方正小标宋简体" w:cs="宋体"/>
          <w:bCs/>
          <w:color w:val="000000" w:themeColor="text1"/>
          <w:w w:val="90"/>
          <w:kern w:val="0"/>
          <w:sz w:val="36"/>
          <w:szCs w:val="36"/>
          <w:highlight w:val="none"/>
          <w14:textFill>
            <w14:solidFill>
              <w14:schemeClr w14:val="tx1"/>
            </w14:solidFill>
          </w14:textFill>
        </w:rPr>
      </w:pPr>
      <w:r>
        <w:rPr>
          <w:rFonts w:hint="eastAsia" w:ascii="方正小标宋简体" w:hAnsi="宋体" w:eastAsia="方正小标宋简体" w:cs="宋体"/>
          <w:bCs/>
          <w:color w:val="000000" w:themeColor="text1"/>
          <w:w w:val="90"/>
          <w:kern w:val="0"/>
          <w:sz w:val="36"/>
          <w:szCs w:val="36"/>
          <w:highlight w:val="none"/>
          <w14:textFill>
            <w14:solidFill>
              <w14:schemeClr w14:val="tx1"/>
            </w14:solidFill>
          </w14:textFill>
        </w:rPr>
        <w:t>2022年泉州医学高等专科学校公开招聘引进非紧缺急需高层次人才岗位信息表</w:t>
      </w:r>
    </w:p>
    <w:tbl>
      <w:tblPr>
        <w:tblStyle w:val="4"/>
        <w:tblpPr w:leftFromText="180" w:rightFromText="180" w:vertAnchor="text" w:horzAnchor="margin" w:tblpXSpec="center" w:tblpY="477"/>
        <w:tblW w:w="15046" w:type="dxa"/>
        <w:tblInd w:w="-115" w:type="dxa"/>
        <w:tblLayout w:type="fixed"/>
        <w:tblCellMar>
          <w:top w:w="0" w:type="dxa"/>
          <w:left w:w="108" w:type="dxa"/>
          <w:bottom w:w="0" w:type="dxa"/>
          <w:right w:w="108" w:type="dxa"/>
        </w:tblCellMar>
      </w:tblPr>
      <w:tblGrid>
        <w:gridCol w:w="599"/>
        <w:gridCol w:w="940"/>
        <w:gridCol w:w="1847"/>
        <w:gridCol w:w="333"/>
        <w:gridCol w:w="654"/>
        <w:gridCol w:w="426"/>
        <w:gridCol w:w="423"/>
        <w:gridCol w:w="870"/>
        <w:gridCol w:w="885"/>
        <w:gridCol w:w="630"/>
        <w:gridCol w:w="2040"/>
        <w:gridCol w:w="2313"/>
        <w:gridCol w:w="1245"/>
        <w:gridCol w:w="1841"/>
      </w:tblGrid>
      <w:tr>
        <w:tblPrEx>
          <w:tblLayout w:type="fixed"/>
          <w:tblCellMar>
            <w:top w:w="0" w:type="dxa"/>
            <w:left w:w="108" w:type="dxa"/>
            <w:bottom w:w="0" w:type="dxa"/>
            <w:right w:w="108" w:type="dxa"/>
          </w:tblCellMar>
        </w:tblPrEx>
        <w:trPr>
          <w:trHeight w:val="480" w:hRule="atLeast"/>
        </w:trPr>
        <w:tc>
          <w:tcPr>
            <w:tcW w:w="599"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岗位代码</w:t>
            </w:r>
          </w:p>
        </w:tc>
        <w:tc>
          <w:tcPr>
            <w:tcW w:w="9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经费</w:t>
            </w:r>
            <w:r>
              <w:rPr>
                <w:rFonts w:hint="eastAsia" w:ascii="黑体" w:hAnsi="宋体" w:eastAsia="黑体" w:cs="宋体"/>
                <w:b/>
                <w:bCs/>
                <w:color w:val="000000" w:themeColor="text1"/>
                <w:kern w:val="0"/>
                <w:sz w:val="20"/>
                <w:szCs w:val="20"/>
                <w:highlight w:val="none"/>
                <w14:textFill>
                  <w14:solidFill>
                    <w14:schemeClr w14:val="tx1"/>
                  </w14:solidFill>
                </w14:textFill>
              </w:rPr>
              <w:br w:type="textWrapping"/>
            </w:r>
            <w:r>
              <w:rPr>
                <w:rFonts w:hint="eastAsia" w:ascii="黑体" w:hAnsi="宋体" w:eastAsia="黑体" w:cs="宋体"/>
                <w:b/>
                <w:bCs/>
                <w:color w:val="000000" w:themeColor="text1"/>
                <w:kern w:val="0"/>
                <w:sz w:val="20"/>
                <w:szCs w:val="20"/>
                <w:highlight w:val="none"/>
                <w14:textFill>
                  <w14:solidFill>
                    <w14:schemeClr w14:val="tx1"/>
                  </w14:solidFill>
                </w14:textFill>
              </w:rPr>
              <w:t>形式</w:t>
            </w:r>
          </w:p>
        </w:tc>
        <w:tc>
          <w:tcPr>
            <w:tcW w:w="184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岗位类别及名称</w:t>
            </w:r>
          </w:p>
        </w:tc>
        <w:tc>
          <w:tcPr>
            <w:tcW w:w="33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招聘</w:t>
            </w:r>
            <w:r>
              <w:rPr>
                <w:rFonts w:hint="eastAsia" w:ascii="黑体" w:hAnsi="宋体" w:eastAsia="黑体" w:cs="宋体"/>
                <w:b/>
                <w:bCs/>
                <w:color w:val="000000" w:themeColor="text1"/>
                <w:kern w:val="0"/>
                <w:sz w:val="20"/>
                <w:szCs w:val="20"/>
                <w:highlight w:val="none"/>
                <w14:textFill>
                  <w14:solidFill>
                    <w14:schemeClr w14:val="tx1"/>
                  </w14:solidFill>
                </w14:textFill>
              </w:rPr>
              <w:br w:type="textWrapping"/>
            </w:r>
            <w:r>
              <w:rPr>
                <w:rFonts w:hint="eastAsia" w:ascii="黑体" w:hAnsi="宋体" w:eastAsia="黑体" w:cs="宋体"/>
                <w:b/>
                <w:bCs/>
                <w:color w:val="000000" w:themeColor="text1"/>
                <w:kern w:val="0"/>
                <w:sz w:val="20"/>
                <w:szCs w:val="20"/>
                <w:highlight w:val="none"/>
                <w14:textFill>
                  <w14:solidFill>
                    <w14:schemeClr w14:val="tx1"/>
                  </w14:solidFill>
                </w14:textFill>
              </w:rPr>
              <w:t>人数</w:t>
            </w:r>
          </w:p>
        </w:tc>
        <w:tc>
          <w:tcPr>
            <w:tcW w:w="8241" w:type="dxa"/>
            <w:gridSpan w:val="8"/>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所  需  资  格  条  件</w:t>
            </w:r>
          </w:p>
        </w:tc>
        <w:tc>
          <w:tcPr>
            <w:tcW w:w="1245" w:type="dxa"/>
            <w:vMerge w:val="restart"/>
            <w:tcBorders>
              <w:top w:val="single" w:color="auto" w:sz="4" w:space="0"/>
              <w:left w:val="single" w:color="auto" w:sz="4" w:space="0"/>
              <w:bottom w:val="single" w:color="000000" w:sz="4" w:space="0"/>
              <w:right w:val="nil"/>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考核方式</w:t>
            </w:r>
          </w:p>
        </w:tc>
        <w:tc>
          <w:tcPr>
            <w:tcW w:w="1841"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备注</w:t>
            </w:r>
          </w:p>
        </w:tc>
      </w:tr>
      <w:tr>
        <w:tblPrEx>
          <w:tblLayout w:type="fixed"/>
          <w:tblCellMar>
            <w:top w:w="0" w:type="dxa"/>
            <w:left w:w="108" w:type="dxa"/>
            <w:bottom w:w="0" w:type="dxa"/>
            <w:right w:w="108" w:type="dxa"/>
          </w:tblCellMar>
        </w:tblPrEx>
        <w:trPr>
          <w:trHeight w:val="783" w:hRule="atLeast"/>
        </w:trPr>
        <w:tc>
          <w:tcPr>
            <w:tcW w:w="59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b/>
                <w:bCs/>
                <w:color w:val="000000" w:themeColor="text1"/>
                <w:kern w:val="0"/>
                <w:sz w:val="20"/>
                <w:szCs w:val="20"/>
                <w:highlight w:val="none"/>
                <w14:textFill>
                  <w14:solidFill>
                    <w14:schemeClr w14:val="tx1"/>
                  </w14:solidFill>
                </w14:textFill>
              </w:rPr>
            </w:pP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b/>
                <w:bCs/>
                <w:color w:val="000000" w:themeColor="text1"/>
                <w:kern w:val="0"/>
                <w:sz w:val="20"/>
                <w:szCs w:val="20"/>
                <w:highlight w:val="none"/>
                <w14:textFill>
                  <w14:solidFill>
                    <w14:schemeClr w14:val="tx1"/>
                  </w14:solidFill>
                </w14:textFill>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b/>
                <w:bCs/>
                <w:color w:val="000000" w:themeColor="text1"/>
                <w:kern w:val="0"/>
                <w:sz w:val="20"/>
                <w:szCs w:val="20"/>
                <w:highlight w:val="none"/>
                <w14:textFill>
                  <w14:solidFill>
                    <w14:schemeClr w14:val="tx1"/>
                  </w14:solidFill>
                </w14:textFill>
              </w:rPr>
            </w:pPr>
          </w:p>
        </w:tc>
        <w:tc>
          <w:tcPr>
            <w:tcW w:w="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b/>
                <w:bCs/>
                <w:color w:val="000000" w:themeColor="text1"/>
                <w:kern w:val="0"/>
                <w:sz w:val="20"/>
                <w:szCs w:val="20"/>
                <w:highlight w:val="none"/>
                <w14:textFill>
                  <w14:solidFill>
                    <w14:schemeClr w14:val="tx1"/>
                  </w14:solidFill>
                </w14:textFill>
              </w:rPr>
            </w:pPr>
          </w:p>
        </w:tc>
        <w:tc>
          <w:tcPr>
            <w:tcW w:w="654"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最高</w:t>
            </w:r>
            <w:r>
              <w:rPr>
                <w:rFonts w:hint="eastAsia" w:ascii="黑体" w:hAnsi="宋体" w:eastAsia="黑体" w:cs="宋体"/>
                <w:b/>
                <w:bCs/>
                <w:color w:val="000000" w:themeColor="text1"/>
                <w:kern w:val="0"/>
                <w:sz w:val="20"/>
                <w:szCs w:val="20"/>
                <w:highlight w:val="none"/>
                <w14:textFill>
                  <w14:solidFill>
                    <w14:schemeClr w14:val="tx1"/>
                  </w14:solidFill>
                </w14:textFill>
              </w:rPr>
              <w:br w:type="textWrapping"/>
            </w:r>
            <w:r>
              <w:rPr>
                <w:rFonts w:hint="eastAsia" w:ascii="黑体" w:hAnsi="宋体" w:eastAsia="黑体" w:cs="宋体"/>
                <w:b/>
                <w:bCs/>
                <w:color w:val="000000" w:themeColor="text1"/>
                <w:kern w:val="0"/>
                <w:sz w:val="20"/>
                <w:szCs w:val="20"/>
                <w:highlight w:val="none"/>
                <w14:textFill>
                  <w14:solidFill>
                    <w14:schemeClr w14:val="tx1"/>
                  </w14:solidFill>
                </w14:textFill>
              </w:rPr>
              <w:t>年龄</w:t>
            </w:r>
          </w:p>
        </w:tc>
        <w:tc>
          <w:tcPr>
            <w:tcW w:w="426"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性别</w:t>
            </w:r>
          </w:p>
        </w:tc>
        <w:tc>
          <w:tcPr>
            <w:tcW w:w="423"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户籍</w:t>
            </w:r>
          </w:p>
        </w:tc>
        <w:tc>
          <w:tcPr>
            <w:tcW w:w="870"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学历  类别</w:t>
            </w:r>
          </w:p>
        </w:tc>
        <w:tc>
          <w:tcPr>
            <w:tcW w:w="885"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学历</w:t>
            </w:r>
          </w:p>
        </w:tc>
        <w:tc>
          <w:tcPr>
            <w:tcW w:w="630"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学位</w:t>
            </w:r>
          </w:p>
        </w:tc>
        <w:tc>
          <w:tcPr>
            <w:tcW w:w="2040"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专业要求</w:t>
            </w:r>
          </w:p>
        </w:tc>
        <w:tc>
          <w:tcPr>
            <w:tcW w:w="2313" w:type="dxa"/>
            <w:tcBorders>
              <w:top w:val="nil"/>
              <w:left w:val="nil"/>
              <w:bottom w:val="single" w:color="auto" w:sz="4" w:space="0"/>
              <w:right w:val="single" w:color="auto" w:sz="4" w:space="0"/>
            </w:tcBorders>
            <w:vAlign w:val="center"/>
          </w:tcPr>
          <w:p>
            <w:pPr>
              <w:widowControl/>
              <w:jc w:val="center"/>
              <w:rPr>
                <w:rFonts w:ascii="黑体" w:hAnsi="宋体" w:eastAsia="黑体" w:cs="宋体"/>
                <w:b/>
                <w:bCs/>
                <w:color w:val="000000" w:themeColor="text1"/>
                <w:kern w:val="0"/>
                <w:sz w:val="20"/>
                <w:szCs w:val="20"/>
                <w:highlight w:val="none"/>
                <w14:textFill>
                  <w14:solidFill>
                    <w14:schemeClr w14:val="tx1"/>
                  </w14:solidFill>
                </w14:textFill>
              </w:rPr>
            </w:pPr>
            <w:r>
              <w:rPr>
                <w:rFonts w:hint="eastAsia" w:ascii="黑体" w:hAnsi="宋体" w:eastAsia="黑体" w:cs="宋体"/>
                <w:b/>
                <w:bCs/>
                <w:color w:val="000000" w:themeColor="text1"/>
                <w:kern w:val="0"/>
                <w:sz w:val="20"/>
                <w:szCs w:val="20"/>
                <w:highlight w:val="none"/>
                <w14:textFill>
                  <w14:solidFill>
                    <w14:schemeClr w14:val="tx1"/>
                  </w14:solidFill>
                </w14:textFill>
              </w:rPr>
              <w:t>其他条件</w:t>
            </w:r>
          </w:p>
        </w:tc>
        <w:tc>
          <w:tcPr>
            <w:tcW w:w="1245" w:type="dxa"/>
            <w:vMerge w:val="continue"/>
            <w:tcBorders>
              <w:top w:val="nil"/>
              <w:left w:val="nil"/>
              <w:bottom w:val="single" w:color="auto" w:sz="4" w:space="0"/>
              <w:right w:val="single" w:color="auto" w:sz="4" w:space="0"/>
            </w:tcBorders>
            <w:vAlign w:val="center"/>
          </w:tcPr>
          <w:p>
            <w:pPr>
              <w:widowControl/>
              <w:jc w:val="left"/>
              <w:rPr>
                <w:rFonts w:ascii="黑体" w:hAnsi="宋体" w:eastAsia="黑体" w:cs="宋体"/>
                <w:b/>
                <w:bCs/>
                <w:color w:val="000000" w:themeColor="text1"/>
                <w:kern w:val="0"/>
                <w:sz w:val="20"/>
                <w:szCs w:val="20"/>
                <w:highlight w:val="none"/>
                <w14:textFill>
                  <w14:solidFill>
                    <w14:schemeClr w14:val="tx1"/>
                  </w14:solidFill>
                </w14:textFill>
              </w:rPr>
            </w:pPr>
          </w:p>
        </w:tc>
        <w:tc>
          <w:tcPr>
            <w:tcW w:w="184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宋体" w:eastAsia="黑体" w:cs="宋体"/>
                <w:b/>
                <w:bCs/>
                <w:color w:val="000000" w:themeColor="text1"/>
                <w:kern w:val="0"/>
                <w:sz w:val="20"/>
                <w:szCs w:val="20"/>
                <w:highlight w:val="none"/>
                <w14:textFill>
                  <w14:solidFill>
                    <w14:schemeClr w14:val="tx1"/>
                  </w14:solidFill>
                </w14:textFill>
              </w:rPr>
            </w:pPr>
          </w:p>
        </w:tc>
      </w:tr>
      <w:tr>
        <w:tblPrEx>
          <w:tblLayout w:type="fixed"/>
          <w:tblCellMar>
            <w:top w:w="0" w:type="dxa"/>
            <w:left w:w="108" w:type="dxa"/>
            <w:bottom w:w="0" w:type="dxa"/>
            <w:right w:w="108" w:type="dxa"/>
          </w:tblCellMar>
        </w:tblPrEx>
        <w:trPr>
          <w:trHeight w:val="1098" w:hRule="atLeast"/>
        </w:trPr>
        <w:tc>
          <w:tcPr>
            <w:tcW w:w="599"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03</w:t>
            </w:r>
          </w:p>
        </w:tc>
        <w:tc>
          <w:tcPr>
            <w:tcW w:w="9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财政核拨</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专技（基础医学实验员）</w:t>
            </w:r>
          </w:p>
        </w:tc>
        <w:tc>
          <w:tcPr>
            <w:tcW w:w="3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654"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40</w:t>
            </w:r>
          </w:p>
        </w:tc>
        <w:tc>
          <w:tcPr>
            <w:tcW w:w="426"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423"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87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885"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研究生</w:t>
            </w:r>
          </w:p>
        </w:tc>
        <w:tc>
          <w:tcPr>
            <w:tcW w:w="63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博士</w:t>
            </w:r>
          </w:p>
        </w:tc>
        <w:tc>
          <w:tcPr>
            <w:tcW w:w="204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临床医学类、基础医学类</w:t>
            </w:r>
          </w:p>
        </w:tc>
        <w:tc>
          <w:tcPr>
            <w:tcW w:w="2313"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具有基础医学高级实验师资格的，学历可放宽至本科及以上，学位可放宽至学士及以上</w:t>
            </w:r>
          </w:p>
        </w:tc>
        <w:tc>
          <w:tcPr>
            <w:tcW w:w="1245"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面试考核100%</w:t>
            </w:r>
          </w:p>
        </w:tc>
        <w:tc>
          <w:tcPr>
            <w:tcW w:w="1841"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具有基础医学高级实验师资格的，可聘任副高职称</w:t>
            </w:r>
          </w:p>
        </w:tc>
      </w:tr>
      <w:tr>
        <w:tblPrEx>
          <w:tblLayout w:type="fixed"/>
          <w:tblCellMar>
            <w:top w:w="0" w:type="dxa"/>
            <w:left w:w="108" w:type="dxa"/>
            <w:bottom w:w="0" w:type="dxa"/>
            <w:right w:w="108" w:type="dxa"/>
          </w:tblCellMar>
        </w:tblPrEx>
        <w:trPr>
          <w:trHeight w:val="756" w:hRule="atLeast"/>
        </w:trPr>
        <w:tc>
          <w:tcPr>
            <w:tcW w:w="599"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04</w:t>
            </w:r>
          </w:p>
        </w:tc>
        <w:tc>
          <w:tcPr>
            <w:tcW w:w="9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财政核拨</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专技（中医学教师）</w:t>
            </w:r>
          </w:p>
        </w:tc>
        <w:tc>
          <w:tcPr>
            <w:tcW w:w="3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654"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40</w:t>
            </w:r>
          </w:p>
        </w:tc>
        <w:tc>
          <w:tcPr>
            <w:tcW w:w="426"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423"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87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885"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研究生</w:t>
            </w:r>
          </w:p>
        </w:tc>
        <w:tc>
          <w:tcPr>
            <w:tcW w:w="63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博士</w:t>
            </w:r>
          </w:p>
        </w:tc>
        <w:tc>
          <w:tcPr>
            <w:tcW w:w="204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中医学、中医诊断学、中医基础理论</w:t>
            </w:r>
          </w:p>
        </w:tc>
        <w:tc>
          <w:tcPr>
            <w:tcW w:w="2313"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w:t>
            </w:r>
          </w:p>
        </w:tc>
        <w:tc>
          <w:tcPr>
            <w:tcW w:w="1245"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面试考核100%</w:t>
            </w:r>
          </w:p>
        </w:tc>
        <w:tc>
          <w:tcPr>
            <w:tcW w:w="1841"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666" w:hRule="atLeast"/>
        </w:trPr>
        <w:tc>
          <w:tcPr>
            <w:tcW w:w="599"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黑体" w:hAnsi="宋体" w:eastAsia="黑体" w:cs="宋体"/>
                <w:color w:val="000000" w:themeColor="text1"/>
                <w:kern w:val="0"/>
                <w:sz w:val="20"/>
                <w:szCs w:val="20"/>
                <w:highlight w:val="none"/>
                <w14:textFill>
                  <w14:solidFill>
                    <w14:schemeClr w14:val="tx1"/>
                  </w14:solidFill>
                </w14:textFill>
              </w:rPr>
            </w:pPr>
            <w:r>
              <w:rPr>
                <w:rFonts w:hint="eastAsia" w:ascii="黑体" w:hAnsi="宋体" w:eastAsia="黑体" w:cs="宋体"/>
                <w:color w:val="000000" w:themeColor="text1"/>
                <w:kern w:val="0"/>
                <w:sz w:val="20"/>
                <w:szCs w:val="20"/>
                <w:highlight w:val="none"/>
                <w14:textFill>
                  <w14:solidFill>
                    <w14:schemeClr w14:val="tx1"/>
                  </w14:solidFill>
                </w14:textFill>
              </w:rPr>
              <w:t>05</w:t>
            </w:r>
          </w:p>
        </w:tc>
        <w:tc>
          <w:tcPr>
            <w:tcW w:w="9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财政核拨</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专技（药剂学教师）</w:t>
            </w:r>
          </w:p>
        </w:tc>
        <w:tc>
          <w:tcPr>
            <w:tcW w:w="3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654"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40</w:t>
            </w:r>
          </w:p>
        </w:tc>
        <w:tc>
          <w:tcPr>
            <w:tcW w:w="426"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423"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87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885"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研究生</w:t>
            </w:r>
          </w:p>
        </w:tc>
        <w:tc>
          <w:tcPr>
            <w:tcW w:w="63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博士</w:t>
            </w:r>
          </w:p>
        </w:tc>
        <w:tc>
          <w:tcPr>
            <w:tcW w:w="204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药学类</w:t>
            </w:r>
            <w:bookmarkStart w:id="0" w:name="_GoBack"/>
            <w:bookmarkEnd w:id="0"/>
            <w:r>
              <w:rPr>
                <w:rFonts w:hint="eastAsia"/>
                <w:color w:val="000000" w:themeColor="text1"/>
                <w:sz w:val="20"/>
                <w:szCs w:val="20"/>
                <w:highlight w:val="none"/>
                <w14:textFill>
                  <w14:solidFill>
                    <w14:schemeClr w14:val="tx1"/>
                  </w14:solidFill>
                </w14:textFill>
              </w:rPr>
              <w:t>（物制剂新技术与新剂型方向）</w:t>
            </w:r>
          </w:p>
        </w:tc>
        <w:tc>
          <w:tcPr>
            <w:tcW w:w="2313"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本科阶段要求为药学类专业</w:t>
            </w:r>
          </w:p>
        </w:tc>
        <w:tc>
          <w:tcPr>
            <w:tcW w:w="1245"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面试考核100%</w:t>
            </w:r>
          </w:p>
        </w:tc>
        <w:tc>
          <w:tcPr>
            <w:tcW w:w="1841"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504" w:hRule="atLeast"/>
        </w:trPr>
        <w:tc>
          <w:tcPr>
            <w:tcW w:w="599" w:type="dxa"/>
            <w:tcBorders>
              <w:top w:val="single" w:color="auto" w:sz="4" w:space="0"/>
              <w:left w:val="single" w:color="auto" w:sz="4" w:space="0"/>
              <w:bottom w:val="single" w:color="000000" w:sz="4" w:space="0"/>
              <w:right w:val="single" w:color="auto" w:sz="4" w:space="0"/>
            </w:tcBorders>
            <w:vAlign w:val="center"/>
          </w:tcPr>
          <w:p>
            <w:pPr>
              <w:widowControl/>
              <w:jc w:val="center"/>
              <w:rPr>
                <w:rFonts w:hint="eastAsia" w:ascii="黑体" w:hAnsi="宋体" w:eastAsia="黑体" w:cs="宋体"/>
                <w:color w:val="000000" w:themeColor="text1"/>
                <w:kern w:val="0"/>
                <w:sz w:val="20"/>
                <w:szCs w:val="20"/>
                <w:highlight w:val="none"/>
                <w14:textFill>
                  <w14:solidFill>
                    <w14:schemeClr w14:val="tx1"/>
                  </w14:solidFill>
                </w14:textFill>
              </w:rPr>
            </w:pPr>
            <w:r>
              <w:rPr>
                <w:rFonts w:hint="eastAsia" w:ascii="黑体" w:hAnsi="宋体" w:eastAsia="黑体" w:cs="宋体"/>
                <w:color w:val="000000" w:themeColor="text1"/>
                <w:kern w:val="0"/>
                <w:sz w:val="20"/>
                <w:szCs w:val="20"/>
                <w:highlight w:val="none"/>
                <w14:textFill>
                  <w14:solidFill>
                    <w14:schemeClr w14:val="tx1"/>
                  </w14:solidFill>
                </w14:textFill>
              </w:rPr>
              <w:t>06</w:t>
            </w:r>
          </w:p>
        </w:tc>
        <w:tc>
          <w:tcPr>
            <w:tcW w:w="9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财政核拨</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专技（药理学教师）</w:t>
            </w:r>
          </w:p>
        </w:tc>
        <w:tc>
          <w:tcPr>
            <w:tcW w:w="3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654"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40</w:t>
            </w:r>
          </w:p>
        </w:tc>
        <w:tc>
          <w:tcPr>
            <w:tcW w:w="426"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423"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87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885"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研究生</w:t>
            </w:r>
          </w:p>
        </w:tc>
        <w:tc>
          <w:tcPr>
            <w:tcW w:w="63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博士</w:t>
            </w:r>
          </w:p>
        </w:tc>
        <w:tc>
          <w:tcPr>
            <w:tcW w:w="204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药理学</w:t>
            </w:r>
          </w:p>
        </w:tc>
        <w:tc>
          <w:tcPr>
            <w:tcW w:w="2313"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本科阶段要求为药学类、临床医学类专业</w:t>
            </w:r>
          </w:p>
        </w:tc>
        <w:tc>
          <w:tcPr>
            <w:tcW w:w="1245"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面试考核100%</w:t>
            </w:r>
          </w:p>
        </w:tc>
        <w:tc>
          <w:tcPr>
            <w:tcW w:w="1841"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　</w:t>
            </w:r>
          </w:p>
        </w:tc>
      </w:tr>
      <w:tr>
        <w:tblPrEx>
          <w:tblLayout w:type="fixed"/>
          <w:tblCellMar>
            <w:top w:w="0" w:type="dxa"/>
            <w:left w:w="108" w:type="dxa"/>
            <w:bottom w:w="0" w:type="dxa"/>
            <w:right w:w="108" w:type="dxa"/>
          </w:tblCellMar>
        </w:tblPrEx>
        <w:trPr>
          <w:trHeight w:val="1083"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07</w:t>
            </w:r>
          </w:p>
        </w:tc>
        <w:tc>
          <w:tcPr>
            <w:tcW w:w="940"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财政核拨</w:t>
            </w:r>
          </w:p>
        </w:tc>
        <w:tc>
          <w:tcPr>
            <w:tcW w:w="1847"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专技（卫生检验与检疫教师）</w:t>
            </w:r>
          </w:p>
        </w:tc>
        <w:tc>
          <w:tcPr>
            <w:tcW w:w="333" w:type="dxa"/>
            <w:tcBorders>
              <w:top w:val="nil"/>
              <w:left w:val="nil"/>
              <w:bottom w:val="single" w:color="auto" w:sz="4" w:space="0"/>
              <w:right w:val="single" w:color="auto" w:sz="4" w:space="0"/>
            </w:tcBorders>
            <w:vAlign w:val="center"/>
          </w:tcPr>
          <w:p>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654"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45</w:t>
            </w:r>
          </w:p>
        </w:tc>
        <w:tc>
          <w:tcPr>
            <w:tcW w:w="426"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423"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87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不限</w:t>
            </w:r>
          </w:p>
        </w:tc>
        <w:tc>
          <w:tcPr>
            <w:tcW w:w="885"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研究生</w:t>
            </w:r>
          </w:p>
        </w:tc>
        <w:tc>
          <w:tcPr>
            <w:tcW w:w="63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博士</w:t>
            </w:r>
          </w:p>
        </w:tc>
        <w:tc>
          <w:tcPr>
            <w:tcW w:w="2040"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生物科学类</w:t>
            </w:r>
          </w:p>
        </w:tc>
        <w:tc>
          <w:tcPr>
            <w:tcW w:w="2313"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具有副研究员及以上或副教授及以上职称资格证书</w:t>
            </w:r>
          </w:p>
        </w:tc>
        <w:tc>
          <w:tcPr>
            <w:tcW w:w="1245"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面试考核100%</w:t>
            </w:r>
          </w:p>
        </w:tc>
        <w:tc>
          <w:tcPr>
            <w:tcW w:w="1841" w:type="dxa"/>
            <w:tcBorders>
              <w:top w:val="nil"/>
              <w:left w:val="nil"/>
              <w:bottom w:val="single" w:color="auto" w:sz="4" w:space="0"/>
              <w:right w:val="single" w:color="auto" w:sz="4" w:space="0"/>
            </w:tcBorders>
            <w:vAlign w:val="center"/>
          </w:tcPr>
          <w:p>
            <w:pPr>
              <w:jc w:val="center"/>
              <w:rPr>
                <w:rFonts w:ascii="宋体" w:hAnsi="宋体" w:cs="宋体"/>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聘为科研型教师，三年内不能申请转型；拟聘副高职称</w:t>
            </w:r>
          </w:p>
        </w:tc>
      </w:tr>
      <w:tr>
        <w:tblPrEx>
          <w:tblLayout w:type="fixed"/>
          <w:tblCellMar>
            <w:top w:w="0" w:type="dxa"/>
            <w:left w:w="108" w:type="dxa"/>
            <w:bottom w:w="0" w:type="dxa"/>
            <w:right w:w="108" w:type="dxa"/>
          </w:tblCellMar>
        </w:tblPrEx>
        <w:trPr>
          <w:trHeight w:val="493" w:hRule="atLeast"/>
        </w:trPr>
        <w:tc>
          <w:tcPr>
            <w:tcW w:w="338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合计</w:t>
            </w:r>
          </w:p>
        </w:tc>
        <w:tc>
          <w:tcPr>
            <w:tcW w:w="333" w:type="dxa"/>
            <w:tcBorders>
              <w:top w:val="single" w:color="auto" w:sz="4" w:space="0"/>
              <w:left w:val="nil"/>
              <w:bottom w:val="single" w:color="auto" w:sz="4" w:space="0"/>
              <w:right w:val="single" w:color="auto" w:sz="4" w:space="0"/>
            </w:tcBorders>
            <w:vAlign w:val="center"/>
          </w:tcPr>
          <w:p>
            <w:pPr>
              <w:jc w:val="center"/>
              <w:rPr>
                <w:rFonts w:hint="eastAsia"/>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5</w:t>
            </w:r>
          </w:p>
        </w:tc>
        <w:tc>
          <w:tcPr>
            <w:tcW w:w="11327" w:type="dxa"/>
            <w:gridSpan w:val="10"/>
            <w:tcBorders>
              <w:top w:val="single" w:color="auto" w:sz="4" w:space="0"/>
              <w:left w:val="nil"/>
              <w:bottom w:val="single" w:color="auto" w:sz="4" w:space="0"/>
              <w:right w:val="single" w:color="auto" w:sz="4" w:space="0"/>
            </w:tcBorders>
            <w:vAlign w:val="center"/>
          </w:tcPr>
          <w:p>
            <w:pPr>
              <w:jc w:val="center"/>
              <w:rPr>
                <w:rFonts w:hint="eastAsia"/>
                <w:color w:val="000000" w:themeColor="text1"/>
                <w:sz w:val="20"/>
                <w:szCs w:val="20"/>
                <w:highlight w:val="none"/>
                <w14:textFill>
                  <w14:solidFill>
                    <w14:schemeClr w14:val="tx1"/>
                  </w14:solidFill>
                </w14:textFill>
              </w:rPr>
            </w:pPr>
          </w:p>
        </w:tc>
      </w:tr>
    </w:tbl>
    <w:p>
      <w:pPr>
        <w:rPr>
          <w:rFonts w:hint="eastAsia" w:eastAsia="宋体"/>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Courier New">
    <w:panose1 w:val="02070309020205020404"/>
    <w:charset w:val="00"/>
    <w:family w:val="decorative"/>
    <w:pitch w:val="default"/>
    <w:sig w:usb0="E0002AFF" w:usb1="C0007843" w:usb2="00000009" w:usb3="00000000" w:csb0="400001FF" w:csb1="FFFF0000"/>
  </w:font>
  <w:font w:name="Tahoma">
    <w:panose1 w:val="020B0604030504040204"/>
    <w:charset w:val="00"/>
    <w:family w:val="roman"/>
    <w:pitch w:val="default"/>
    <w:sig w:usb0="E1002EFF" w:usb1="C000605B" w:usb2="00000029" w:usb3="00000000" w:csb0="200101FF" w:csb1="20280000"/>
  </w:font>
  <w:font w:name="仿宋_GB2312">
    <w:altName w:val="仿宋"/>
    <w:panose1 w:val="02010609030101010101"/>
    <w:charset w:val="86"/>
    <w:family w:val="decorative"/>
    <w:pitch w:val="default"/>
    <w:sig w:usb0="00000000" w:usb1="00000000" w:usb2="0000000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Verdana">
    <w:panose1 w:val="020B0604030504040204"/>
    <w:charset w:val="00"/>
    <w:family w:val="roman"/>
    <w:pitch w:val="default"/>
    <w:sig w:usb0="A10006FF" w:usb1="4000205B" w:usb2="00000010" w:usb3="00000000" w:csb0="2000019F" w:csb1="00000000"/>
  </w:font>
  <w:font w:name="MingLiU">
    <w:panose1 w:val="02020509000000000000"/>
    <w:charset w:val="88"/>
    <w:family w:val="decorative"/>
    <w:pitch w:val="default"/>
    <w:sig w:usb0="A00002FF" w:usb1="28CFFCFA" w:usb2="00000016" w:usb3="00000000" w:csb0="00100001"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roman"/>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cript"/>
    <w:pitch w:val="default"/>
    <w:sig w:usb0="80000287" w:usb1="280F3C52" w:usb2="00000016" w:usb3="00000000" w:csb0="0004001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roman"/>
    <w:pitch w:val="default"/>
    <w:sig w:usb0="E0002AFF" w:usb1="C0007843" w:usb2="00000009" w:usb3="00000000" w:csb0="400001FF" w:csb1="FFFF0000"/>
  </w:font>
  <w:font w:name="Tahoma">
    <w:panose1 w:val="020B0604030504040204"/>
    <w:charset w:val="00"/>
    <w:family w:val="modern"/>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MingLiU">
    <w:panose1 w:val="02020509000000000000"/>
    <w:charset w:val="88"/>
    <w:family w:val="roman"/>
    <w:pitch w:val="default"/>
    <w:sig w:usb0="A00002FF" w:usb1="28CFFCFA" w:usb2="00000016" w:usb3="00000000" w:csb0="0010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Arial">
    <w:panose1 w:val="020B0604020202020204"/>
    <w:charset w:val="00"/>
    <w:family w:val="modern"/>
    <w:pitch w:val="default"/>
    <w:sig w:usb0="E0002AFF" w:usb1="C0007843" w:usb2="00000009" w:usb3="00000000" w:csb0="400001FF" w:csb1="FFFF0000"/>
  </w:font>
  <w:font w:name="微软雅黑">
    <w:panose1 w:val="020B0503020204020204"/>
    <w:charset w:val="86"/>
    <w:family w:val="script"/>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miter/>
                      </a:ln>
                    </wps:spPr>
                    <wps:txbx>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xGrYMLoBAABfAwAADgAAAAAAAAABACAAAAAiAQAAZHJzL2Uyb0RvYy54bWxQSwUGAAAA&#10;AAYABgBZAQAATgUAAAAA&#10;">
              <v:fill on="f" focussize="0,0"/>
              <v:stroke on="f" weight="1.25pt" joinstyle="miter"/>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- 10 -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561F3"/>
    <w:rsid w:val="24F561F3"/>
    <w:rsid w:val="76E8793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2021-11-15T01:54:00Z</dcterms:created>
  <dc:creator>郑梦琦(1267322)</dc:creator>
  <cp:lastModifiedBy>郑梦琦(1267322)</cp:lastModifiedBy>
  <dcterms:modified xsi:type="dcterms:W3CDTF">2021-11-15T08:40:18Z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