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仿宋" w:hAnsi="仿宋" w:eastAsia="仿宋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/>
          <w:color w:val="333333"/>
          <w:spacing w:val="8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color w:val="333333"/>
          <w:spacing w:val="8"/>
          <w:sz w:val="30"/>
          <w:szCs w:val="30"/>
        </w:rPr>
        <w:t>1</w:t>
      </w: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tbl>
      <w:tblPr>
        <w:tblStyle w:val="2"/>
        <w:tblW w:w="89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040"/>
        <w:gridCol w:w="1000"/>
        <w:gridCol w:w="900"/>
        <w:gridCol w:w="1338"/>
        <w:gridCol w:w="2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29" w:type="dxa"/>
            <w:gridSpan w:val="6"/>
            <w:tcBorders>
              <w:bottom w:val="single" w:color="000000" w:sz="4" w:space="0"/>
            </w:tcBorders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r>
              <w:rPr>
                <w:rFonts w:ascii="仿宋" w:hAnsi="仿宋" w:eastAsia="仿宋"/>
                <w:sz w:val="32"/>
                <w:szCs w:val="32"/>
              </w:rPr>
              <w:t>基层公共管理和社会服务岗位汇总表</w:t>
            </w:r>
          </w:p>
          <w:bookmarkEnd w:id="0"/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岗位所属单位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岗位数量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学历类别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山城镇便民服务中心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靖城镇便民服务中心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　　　（含高新园）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龙山镇便民服务中心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丰田镇便民服务中心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金山镇便民服务中心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和溪镇便民服务中心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奎洋镇便民服务中心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梅林镇便民服务中心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书洋镇便民服务中心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船场镇便民服务中心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南坑镇便民服务中心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南靖县土楼便民服务中心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全日制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专科以上</w:t>
            </w: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年度未就业毕业生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4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>
            <w:pPr>
              <w:wordWrap w:val="0"/>
              <w:rPr>
                <w:sz w:val="20"/>
                <w:szCs w:val="20"/>
              </w:rPr>
            </w:pPr>
          </w:p>
        </w:tc>
      </w:tr>
    </w:tbl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>
      <w:pPr>
        <w:wordWrap w:val="0"/>
        <w:ind w:firstLine="4800"/>
        <w:rPr>
          <w:rFonts w:ascii="仿宋" w:hAnsi="仿宋" w:eastAsia="仿宋"/>
          <w:color w:val="333333"/>
          <w:spacing w:val="8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08FD"/>
    <w:rsid w:val="35D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2021-11-19T08:04:00Z</dcterms:created>
  <dc:creator>06</dc:creator>
  <cp:lastModifiedBy>06</cp:lastModifiedBy>
  <dcterms:modified xsi:type="dcterms:W3CDTF">2021-11-19T08:04:46Z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246016F0CF6C4087A04593F86A5EA8AB</vt:lpwstr>
  </property>
</Properties>
</file>