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 xml:space="preserve">附件 </w:t>
      </w:r>
    </w:p>
    <w:p>
      <w:pPr>
        <w:autoSpaceDN w:val="0"/>
        <w:adjustRightInd w:val="0"/>
        <w:snapToGrid w:val="0"/>
        <w:jc w:val="center"/>
        <w:rPr>
          <w:rFonts w:hint="eastAsia" w:eastAsia="方正小标宋简体"/>
          <w:sz w:val="28"/>
          <w:szCs w:val="22"/>
          <w:lang w:val="en-US" w:eastAsia="zh-CN"/>
        </w:rPr>
      </w:pPr>
      <w:bookmarkStart w:id="0" w:name="_GoBack"/>
      <w:r>
        <w:rPr>
          <w:rFonts w:hint="eastAsia" w:eastAsia="方正小标宋简体"/>
          <w:bCs/>
          <w:color w:val="auto"/>
          <w:sz w:val="36"/>
          <w:szCs w:val="36"/>
        </w:rPr>
        <w:t>20</w:t>
      </w:r>
      <w:r>
        <w:rPr>
          <w:rFonts w:hint="eastAsia" w:eastAsia="方正小标宋简体"/>
          <w:bCs/>
          <w:color w:val="auto"/>
          <w:sz w:val="36"/>
          <w:szCs w:val="36"/>
          <w:lang w:val="en-US" w:eastAsia="zh-CN"/>
        </w:rPr>
        <w:t>22</w:t>
      </w:r>
      <w:r>
        <w:rPr>
          <w:rFonts w:hint="eastAsia" w:eastAsia="方正小标宋简体"/>
          <w:bCs/>
          <w:color w:val="auto"/>
          <w:sz w:val="36"/>
          <w:szCs w:val="36"/>
        </w:rPr>
        <w:t>年</w:t>
      </w:r>
      <w:r>
        <w:rPr>
          <w:rFonts w:hint="eastAsia" w:eastAsia="方正小标宋简体"/>
          <w:bCs/>
          <w:color w:val="auto"/>
          <w:sz w:val="36"/>
          <w:szCs w:val="36"/>
          <w:lang w:val="en-US" w:eastAsia="zh-CN"/>
        </w:rPr>
        <w:t>芜湖职业技术学院</w:t>
      </w:r>
      <w:r>
        <w:rPr>
          <w:rFonts w:hint="eastAsia" w:eastAsia="方正小标宋简体"/>
          <w:bCs/>
          <w:color w:val="auto"/>
          <w:sz w:val="36"/>
          <w:szCs w:val="36"/>
        </w:rPr>
        <w:t>赴全国重点院校公开招聘</w:t>
      </w:r>
      <w:r>
        <w:rPr>
          <w:rFonts w:hint="eastAsia" w:eastAsia="方正小标宋简体"/>
          <w:bCs/>
          <w:color w:val="auto"/>
          <w:sz w:val="36"/>
          <w:szCs w:val="36"/>
          <w:lang w:val="en-US" w:eastAsia="zh-CN"/>
        </w:rPr>
        <w:t>紧缺专业</w:t>
      </w:r>
      <w:r>
        <w:rPr>
          <w:rFonts w:hint="eastAsia" w:eastAsia="方正小标宋简体"/>
          <w:bCs/>
          <w:color w:val="auto"/>
          <w:sz w:val="36"/>
          <w:szCs w:val="36"/>
        </w:rPr>
        <w:t>应届毕业生计划</w:t>
      </w:r>
      <w:r>
        <w:rPr>
          <w:rFonts w:hint="eastAsia" w:eastAsia="方正小标宋简体"/>
          <w:bCs/>
          <w:color w:val="auto"/>
          <w:sz w:val="36"/>
          <w:szCs w:val="36"/>
          <w:lang w:eastAsia="zh-CN"/>
        </w:rPr>
        <w:t>（</w:t>
      </w:r>
      <w:r>
        <w:rPr>
          <w:rFonts w:hint="eastAsia" w:eastAsia="方正小标宋简体"/>
          <w:bCs/>
          <w:color w:val="auto"/>
          <w:sz w:val="36"/>
          <w:szCs w:val="36"/>
          <w:lang w:val="en-US" w:eastAsia="zh-CN"/>
        </w:rPr>
        <w:t>第二批</w:t>
      </w:r>
      <w:r>
        <w:rPr>
          <w:rFonts w:hint="eastAsia" w:eastAsia="方正小标宋简体"/>
          <w:bCs/>
          <w:color w:val="auto"/>
          <w:sz w:val="36"/>
          <w:szCs w:val="36"/>
          <w:lang w:eastAsia="zh-CN"/>
        </w:rPr>
        <w:t>）</w:t>
      </w:r>
    </w:p>
    <w:bookmarkEnd w:id="0"/>
    <w:tbl>
      <w:tblPr>
        <w:tblStyle w:val="4"/>
        <w:tblW w:w="14037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693"/>
        <w:gridCol w:w="2450"/>
        <w:gridCol w:w="810"/>
        <w:gridCol w:w="810"/>
        <w:gridCol w:w="810"/>
        <w:gridCol w:w="810"/>
        <w:gridCol w:w="1140"/>
        <w:gridCol w:w="5093"/>
        <w:gridCol w:w="76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6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所在城市</w:t>
            </w:r>
          </w:p>
        </w:tc>
        <w:tc>
          <w:tcPr>
            <w:tcW w:w="50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具体招聘院校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65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芜湖职业技术学院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计算机科学与技术类、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软件工程类、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信息与通信工程类、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机械工程类、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电气工程类、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仪器科学与技术类、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控制科学与工程类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电子科学与技术类、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交通运输工程类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周岁以下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复旦大学、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同济大学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、上海交通大学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华东理工大学、上海大学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提供事业单位编制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武汉大学、华中科技大学、武汉理工大学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、中国地质大学</w:t>
            </w: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中山大学、华南理工大学、暨南大学</w:t>
            </w: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南京大学、东南大学、南京信息工程大学、南京邮电大学、南京航空航天大学、南京理工大学</w:t>
            </w: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政治学类、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马克思主义理论类、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理论经济学类、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教育学类、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历史学类、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教学岗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周岁以下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复旦大学、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同济大学、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上海交通大学、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华东师范大学、上海大学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提供事业单位编制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武汉大学、华中师范大学、华中科技大学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、中国地质大学</w:t>
            </w: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7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南京大学、东南大学、南京师范大学</w:t>
            </w: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  <w:jc w:val="center"/>
        </w:trPr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教学、科研岗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45周岁以下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高层次人才，提供事业单位编制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57081"/>
    <w:rsid w:val="3695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2021-11-25T06:34:00Z</dcterms:created>
  <dc:creator>LENOVO</dc:creator>
  <cp:lastModifiedBy>LENOVO</cp:lastModifiedBy>
  <dcterms:modified xsi:type="dcterms:W3CDTF">2021-11-25T06:35:17Z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08CF3852F029477EBE168AE0F12FF74C</vt:lpwstr>
  </property>
</Properties>
</file>