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t>天全县2021年下半年公开考核招聘事业单位工作人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634478"/>
    <w:rsid w:val="11D827B8"/>
    <w:rsid w:val="2C4E35E4"/>
    <w:rsid w:val="511B15A3"/>
    <w:rsid w:val="5AE22BD0"/>
    <w:rsid w:val="705F4E39"/>
    <w:rsid w:val="7D8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2021-12-01T03:20:43Z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4ABCECA464624FFBA27A9A57398E8A8F</vt:lpwstr>
  </property>
</Properties>
</file>