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宋体" w:cs="宋体"/>
          <w:b/>
          <w:color w:val="000000" w:themeColor="text1"/>
          <w:w w:val="85"/>
          <w:kern w:val="0"/>
          <w:sz w:val="44"/>
          <w:szCs w:val="44"/>
          <w14:textFill>
            <w14:solidFill>
              <w14:schemeClr w14:val="tx1"/>
            </w14:solidFill>
          </w14:textFill>
        </w:rPr>
      </w:pPr>
      <w:bookmarkStart w:id="0" w:name="_Toc6286_WPSOffice_Level1"/>
      <w:r>
        <w:rPr>
          <w:rFonts w:hint="eastAsia" w:ascii="宋体" w:hAnsi="宋体" w:cs="宋体"/>
          <w:b/>
          <w:color w:val="000000" w:themeColor="text1"/>
          <w:w w:val="85"/>
          <w:kern w:val="0"/>
          <w:sz w:val="44"/>
          <w:szCs w:val="44"/>
          <w:lang w:eastAsia="zh-CN"/>
          <w14:textFill>
            <w14:solidFill>
              <w14:schemeClr w14:val="tx1"/>
            </w14:solidFill>
          </w14:textFill>
        </w:rPr>
        <w:t>厦门医学院附属口腔医院</w:t>
      </w:r>
      <w:r>
        <w:rPr>
          <w:rFonts w:hint="eastAsia" w:ascii="宋体" w:hAnsi="宋体" w:cs="宋体"/>
          <w:b/>
          <w:color w:val="000000" w:themeColor="text1"/>
          <w:w w:val="85"/>
          <w:kern w:val="0"/>
          <w:sz w:val="44"/>
          <w:szCs w:val="44"/>
          <w14:textFill>
            <w14:solidFill>
              <w14:schemeClr w14:val="tx1"/>
            </w14:solidFill>
          </w14:textFill>
        </w:rPr>
        <w:t>补充编</w:t>
      </w:r>
      <w:r>
        <w:rPr>
          <w:rFonts w:hint="eastAsia" w:ascii="宋体" w:hAnsi="宋体" w:cs="宋体"/>
          <w:b/>
          <w:color w:val="000000" w:themeColor="text1"/>
          <w:w w:val="85"/>
          <w:kern w:val="0"/>
          <w:sz w:val="44"/>
          <w:szCs w:val="44"/>
          <w:lang w:eastAsia="zh-CN"/>
          <w14:textFill>
            <w14:solidFill>
              <w14:schemeClr w14:val="tx1"/>
            </w14:solidFill>
          </w14:textFill>
        </w:rPr>
        <w:t>外</w:t>
      </w:r>
      <w:r>
        <w:rPr>
          <w:rFonts w:hint="eastAsia" w:ascii="宋体" w:hAnsi="宋体" w:cs="宋体"/>
          <w:b/>
          <w:color w:val="000000" w:themeColor="text1"/>
          <w:w w:val="85"/>
          <w:kern w:val="0"/>
          <w:sz w:val="44"/>
          <w:szCs w:val="44"/>
          <w14:textFill>
            <w14:solidFill>
              <w14:schemeClr w14:val="tx1"/>
            </w14:solidFill>
          </w14:textFill>
        </w:rPr>
        <w:t>工作人员考试报考指南</w:t>
      </w:r>
      <w:bookmarkEnd w:id="0"/>
      <w:r>
        <w:rPr>
          <w:rFonts w:hint="eastAsia" w:ascii="宋体" w:hAnsi="宋体" w:cs="宋体"/>
          <w:b/>
          <w:color w:val="000000" w:themeColor="text1"/>
          <w:w w:val="85"/>
          <w:kern w:val="0"/>
          <w:sz w:val="44"/>
          <w:szCs w:val="44"/>
          <w14:textFill>
            <w14:solidFill>
              <w14:schemeClr w14:val="tx1"/>
            </w14:solidFill>
          </w14:textFill>
        </w:rPr>
        <w:t>（</w:t>
      </w:r>
      <w:r>
        <w:rPr>
          <w:rFonts w:ascii="宋体" w:hAnsi="宋体" w:cs="宋体"/>
          <w:b/>
          <w:color w:val="000000" w:themeColor="text1"/>
          <w:w w:val="85"/>
          <w:kern w:val="0"/>
          <w:sz w:val="44"/>
          <w:szCs w:val="44"/>
          <w14:textFill>
            <w14:solidFill>
              <w14:schemeClr w14:val="tx1"/>
            </w14:solidFill>
          </w14:textFill>
        </w:rPr>
        <w:t>2021</w:t>
      </w:r>
      <w:r>
        <w:rPr>
          <w:rFonts w:hint="eastAsia" w:ascii="宋体" w:hAnsi="宋体" w:cs="宋体"/>
          <w:b/>
          <w:color w:val="000000" w:themeColor="text1"/>
          <w:w w:val="85"/>
          <w:kern w:val="0"/>
          <w:sz w:val="44"/>
          <w:szCs w:val="44"/>
          <w14:textFill>
            <w14:solidFill>
              <w14:schemeClr w14:val="tx1"/>
            </w14:solidFill>
          </w14:textFill>
        </w:rPr>
        <w:t>年</w:t>
      </w:r>
      <w:r>
        <w:rPr>
          <w:rFonts w:hint="eastAsia" w:ascii="宋体" w:hAnsi="宋体" w:cs="宋体"/>
          <w:b/>
          <w:color w:val="000000" w:themeColor="text1"/>
          <w:w w:val="85"/>
          <w:kern w:val="0"/>
          <w:sz w:val="44"/>
          <w:szCs w:val="44"/>
          <w:lang w:val="en-US" w:eastAsia="zh-CN"/>
          <w14:textFill>
            <w14:solidFill>
              <w14:schemeClr w14:val="tx1"/>
            </w14:solidFill>
          </w14:textFill>
        </w:rPr>
        <w:t>12</w:t>
      </w:r>
      <w:r>
        <w:rPr>
          <w:rFonts w:hint="eastAsia" w:ascii="宋体" w:hAnsi="宋体" w:cs="宋体"/>
          <w:b/>
          <w:color w:val="000000" w:themeColor="text1"/>
          <w:w w:val="85"/>
          <w:kern w:val="0"/>
          <w:sz w:val="44"/>
          <w:szCs w:val="44"/>
          <w14:textFill>
            <w14:solidFill>
              <w14:schemeClr w14:val="tx1"/>
            </w14:solidFill>
          </w14:textFill>
        </w:rPr>
        <w:t>月）</w:t>
      </w:r>
    </w:p>
    <w:p>
      <w:pPr>
        <w:jc w:val="center"/>
        <w:rPr>
          <w:rFonts w:ascii="宋体"/>
          <w:b/>
          <w:bCs/>
          <w:color w:val="000000" w:themeColor="text1"/>
          <w:sz w:val="44"/>
          <w:szCs w:val="44"/>
          <w14:textFill>
            <w14:solidFill>
              <w14:schemeClr w14:val="tx1"/>
            </w14:solidFill>
          </w14:textFill>
        </w:rPr>
      </w:pPr>
    </w:p>
    <w:p>
      <w:pPr>
        <w:spacing w:afterLines="100" w:line="500" w:lineRule="exact"/>
        <w:jc w:val="center"/>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目录</w:t>
      </w:r>
    </w:p>
    <w:sdt>
      <w:sdtPr>
        <w:rPr>
          <w:rFonts w:ascii="宋体" w:hAnsi="宋体" w:eastAsia="宋体" w:cs="Times New Roman"/>
          <w:kern w:val="2"/>
          <w:sz w:val="21"/>
          <w:szCs w:val="22"/>
          <w:lang w:val="en-US" w:eastAsia="zh-CN" w:bidi="ar-SA"/>
        </w:rPr>
        <w:id w:val="147470388"/>
        <w15:color w:val="DBDBDB"/>
        <w:docPartObj>
          <w:docPartGallery w:val="Table of Contents"/>
          <w:docPartUnique/>
        </w:docPartObj>
      </w:sdtPr>
      <w:sdtEndPr>
        <w:rPr>
          <w:rFonts w:hint="eastAsia" w:ascii="宋体" w:hAnsi="宋体" w:eastAsia="宋体" w:cs="Times New Roman"/>
          <w:bCs/>
          <w:color w:val="000000" w:themeColor="text1"/>
          <w:kern w:val="2"/>
          <w:sz w:val="21"/>
          <w:szCs w:val="4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rPr>
          </w:pPr>
          <w:r>
            <w:rPr>
              <w:rFonts w:hint="eastAsia" w:ascii="宋体" w:hAnsi="宋体"/>
              <w:b/>
              <w:bCs/>
              <w:color w:val="000000" w:themeColor="text1"/>
              <w:sz w:val="44"/>
              <w:szCs w:val="44"/>
              <w14:textFill>
                <w14:solidFill>
                  <w14:schemeClr w14:val="tx1"/>
                </w14:solidFill>
              </w14:textFill>
            </w:rPr>
            <w:fldChar w:fldCharType="begin"/>
          </w:r>
          <w:r>
            <w:rPr>
              <w:rFonts w:hint="eastAsia" w:ascii="宋体" w:hAnsi="宋体"/>
              <w:b/>
              <w:bCs/>
              <w:color w:val="000000" w:themeColor="text1"/>
              <w:sz w:val="44"/>
              <w:szCs w:val="44"/>
              <w14:textFill>
                <w14:solidFill>
                  <w14:schemeClr w14:val="tx1"/>
                </w14:solidFill>
              </w14:textFill>
            </w:rPr>
            <w:instrText xml:space="preserve">TOC \o "1-1" \h \u </w:instrText>
          </w:r>
          <w:r>
            <w:rPr>
              <w:rFonts w:hint="eastAsia" w:ascii="宋体" w:hAnsi="宋体"/>
              <w:b/>
              <w:bCs/>
              <w:color w:val="000000" w:themeColor="text1"/>
              <w:sz w:val="44"/>
              <w:szCs w:val="44"/>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sz w:val="28"/>
              <w:szCs w:val="28"/>
            </w:rPr>
            <w:instrText xml:space="preserve"> HYPERLINK \l _Toc27269 </w:instrText>
          </w:r>
          <w:r>
            <w:rPr>
              <w:rFonts w:hint="eastAsia" w:ascii="黑体" w:hAnsi="黑体" w:eastAsia="黑体" w:cs="黑体"/>
              <w:bCs/>
              <w:sz w:val="28"/>
              <w:szCs w:val="28"/>
            </w:rPr>
            <w:fldChar w:fldCharType="separate"/>
          </w:r>
          <w:r>
            <w:rPr>
              <w:rFonts w:hint="eastAsia" w:ascii="黑体" w:hAnsi="黑体" w:eastAsia="黑体" w:cs="黑体"/>
              <w:sz w:val="28"/>
              <w:szCs w:val="28"/>
            </w:rPr>
            <w:t>一、基本条件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_Toc27269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rPr>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sz w:val="28"/>
              <w:szCs w:val="28"/>
            </w:rPr>
            <w:instrText xml:space="preserve"> HYPERLINK \l _Toc13899 </w:instrText>
          </w:r>
          <w:r>
            <w:rPr>
              <w:rFonts w:hint="eastAsia" w:ascii="黑体" w:hAnsi="黑体" w:eastAsia="黑体" w:cs="黑体"/>
              <w:bCs/>
              <w:sz w:val="28"/>
              <w:szCs w:val="28"/>
            </w:rPr>
            <w:fldChar w:fldCharType="separate"/>
          </w:r>
          <w:r>
            <w:rPr>
              <w:rFonts w:hint="eastAsia" w:ascii="黑体" w:hAnsi="黑体" w:eastAsia="黑体" w:cs="黑体"/>
              <w:sz w:val="28"/>
              <w:szCs w:val="28"/>
            </w:rPr>
            <w:t>二、不得报考或取消报考（聘用）资格的情形</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_Toc13899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sz w:val="28"/>
              <w:szCs w:val="28"/>
            </w:rPr>
            <w:instrText xml:space="preserve"> HYPERLINK \l _Toc13246 </w:instrText>
          </w:r>
          <w:r>
            <w:rPr>
              <w:rFonts w:hint="eastAsia" w:ascii="黑体" w:hAnsi="黑体" w:eastAsia="黑体" w:cs="黑体"/>
              <w:bCs/>
              <w:sz w:val="28"/>
              <w:szCs w:val="28"/>
            </w:rPr>
            <w:fldChar w:fldCharType="separate"/>
          </w:r>
          <w:r>
            <w:rPr>
              <w:rFonts w:hint="eastAsia" w:ascii="黑体" w:hAnsi="黑体" w:eastAsia="黑体" w:cs="黑体"/>
              <w:sz w:val="28"/>
              <w:szCs w:val="28"/>
            </w:rPr>
            <w:t>三、选报岗位须知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_Toc13246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_Toc7876 </w:instrText>
          </w:r>
          <w:r>
            <w:rPr>
              <w:rFonts w:hint="eastAsia" w:ascii="楷体" w:hAnsi="楷体" w:eastAsia="楷体" w:cs="楷体"/>
              <w:sz w:val="28"/>
              <w:szCs w:val="28"/>
            </w:rPr>
            <w:fldChar w:fldCharType="separate"/>
          </w:r>
          <w:r>
            <w:rPr>
              <w:rFonts w:hint="eastAsia" w:ascii="楷体" w:hAnsi="楷体" w:eastAsia="楷体" w:cs="楷体"/>
              <w:sz w:val="28"/>
              <w:szCs w:val="28"/>
            </w:rPr>
            <w:t>（一）照片要求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_Toc7876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_Toc25221 </w:instrText>
          </w:r>
          <w:r>
            <w:rPr>
              <w:rFonts w:hint="eastAsia" w:ascii="楷体" w:hAnsi="楷体" w:eastAsia="楷体" w:cs="楷体"/>
              <w:sz w:val="28"/>
              <w:szCs w:val="28"/>
            </w:rPr>
            <w:fldChar w:fldCharType="separate"/>
          </w:r>
          <w:r>
            <w:rPr>
              <w:rFonts w:hint="eastAsia" w:ascii="楷体" w:hAnsi="楷体" w:eastAsia="楷体" w:cs="楷体"/>
              <w:sz w:val="28"/>
              <w:szCs w:val="28"/>
            </w:rPr>
            <w:t>（二）回避情形</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_Toc25221 \h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_Toc15353 </w:instrText>
          </w:r>
          <w:r>
            <w:rPr>
              <w:rFonts w:hint="eastAsia" w:ascii="楷体" w:hAnsi="楷体" w:eastAsia="楷体" w:cs="楷体"/>
              <w:sz w:val="28"/>
              <w:szCs w:val="28"/>
            </w:rPr>
            <w:fldChar w:fldCharType="separate"/>
          </w:r>
          <w:r>
            <w:rPr>
              <w:rFonts w:hint="eastAsia" w:ascii="楷体" w:hAnsi="楷体" w:eastAsia="楷体" w:cs="楷体"/>
              <w:sz w:val="28"/>
              <w:szCs w:val="28"/>
            </w:rPr>
            <w:t>（三）岗位开考</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_Toc15353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_Toc26598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四、资格复核</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_Toc26598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4</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_Toc2030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五、年龄、资格（历）等的计算办法</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_Toc2030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5</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_Toc5726 </w:instrText>
          </w:r>
          <w:r>
            <w:rPr>
              <w:rFonts w:hint="eastAsia" w:ascii="楷体" w:hAnsi="楷体" w:eastAsia="楷体" w:cs="楷体"/>
              <w:sz w:val="28"/>
              <w:szCs w:val="28"/>
            </w:rPr>
            <w:fldChar w:fldCharType="separate"/>
          </w:r>
          <w:r>
            <w:rPr>
              <w:rFonts w:hint="eastAsia" w:ascii="楷体" w:hAnsi="楷体" w:eastAsia="楷体" w:cs="楷体"/>
              <w:sz w:val="28"/>
              <w:szCs w:val="28"/>
            </w:rPr>
            <w:t>（一）年龄</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_Toc5726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_Toc20905 </w:instrText>
          </w:r>
          <w:r>
            <w:rPr>
              <w:rFonts w:hint="eastAsia" w:ascii="楷体" w:hAnsi="楷体" w:eastAsia="楷体" w:cs="楷体"/>
              <w:sz w:val="28"/>
              <w:szCs w:val="28"/>
            </w:rPr>
            <w:fldChar w:fldCharType="separate"/>
          </w:r>
          <w:r>
            <w:rPr>
              <w:rFonts w:hint="eastAsia" w:ascii="楷体" w:hAnsi="楷体" w:eastAsia="楷体" w:cs="楷体"/>
              <w:sz w:val="28"/>
              <w:szCs w:val="28"/>
            </w:rPr>
            <w:t>（二）资格（历）等</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_Toc20905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bCs/>
              <w:color w:val="000000" w:themeColor="text1"/>
              <w:szCs w:val="44"/>
              <w14:textFill>
                <w14:solidFill>
                  <w14:schemeClr w14:val="tx1"/>
                </w14:solidFill>
              </w14:textFill>
            </w:rPr>
            <w:fldChar w:fldCharType="begin"/>
          </w:r>
          <w:r>
            <w:rPr>
              <w:rFonts w:hint="eastAsia" w:ascii="宋体" w:hAnsi="宋体"/>
              <w:bCs/>
              <w:szCs w:val="44"/>
            </w:rPr>
            <w:instrText xml:space="preserve"> HYPERLINK \l _Toc5478 </w:instrText>
          </w:r>
          <w:r>
            <w:rPr>
              <w:rFonts w:hint="eastAsia" w:ascii="宋体" w:hAnsi="宋体"/>
              <w:bCs/>
              <w:szCs w:val="44"/>
            </w:rPr>
            <w:fldChar w:fldCharType="separate"/>
          </w:r>
          <w:r>
            <w:rPr>
              <w:rFonts w:hint="eastAsia" w:ascii="黑体" w:hAnsi="黑体" w:eastAsia="黑体" w:cs="黑体"/>
              <w:bCs/>
              <w:color w:val="000000" w:themeColor="text1"/>
              <w:sz w:val="28"/>
              <w:szCs w:val="28"/>
              <w14:textFill>
                <w14:solidFill>
                  <w14:schemeClr w14:val="tx1"/>
                </w14:solidFill>
              </w14:textFill>
            </w:rPr>
            <w:t>六、学历（位）认定</w:t>
          </w:r>
          <w:r>
            <w:tab/>
          </w:r>
          <w:r>
            <w:fldChar w:fldCharType="begin"/>
          </w:r>
          <w:r>
            <w:instrText xml:space="preserve"> PAGEREF _Toc5478 \h </w:instrText>
          </w:r>
          <w:r>
            <w:fldChar w:fldCharType="separate"/>
          </w:r>
          <w:r>
            <w:t>6</w:t>
          </w:r>
          <w:r>
            <w:fldChar w:fldCharType="end"/>
          </w:r>
          <w:r>
            <w:rPr>
              <w:rFonts w:hint="eastAsia" w:ascii="宋体" w:hAnsi="宋体"/>
              <w:bCs/>
              <w:color w:val="000000" w:themeColor="text1"/>
              <w:szCs w:val="44"/>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_Toc11526 </w:instrText>
          </w:r>
          <w:r>
            <w:rPr>
              <w:rFonts w:hint="eastAsia" w:ascii="楷体" w:hAnsi="楷体" w:eastAsia="楷体" w:cs="楷体"/>
              <w:sz w:val="28"/>
              <w:szCs w:val="28"/>
            </w:rPr>
            <w:fldChar w:fldCharType="separate"/>
          </w:r>
          <w:r>
            <w:rPr>
              <w:rFonts w:hint="eastAsia" w:ascii="楷体" w:hAnsi="楷体" w:eastAsia="楷体" w:cs="楷体"/>
              <w:sz w:val="28"/>
              <w:szCs w:val="28"/>
            </w:rPr>
            <w:t>（一）境内学历（位）</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_Toc11526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_Toc12941 </w:instrText>
          </w:r>
          <w:r>
            <w:rPr>
              <w:rFonts w:hint="eastAsia" w:ascii="楷体" w:hAnsi="楷体" w:eastAsia="楷体" w:cs="楷体"/>
              <w:sz w:val="28"/>
              <w:szCs w:val="28"/>
            </w:rPr>
            <w:fldChar w:fldCharType="separate"/>
          </w:r>
          <w:r>
            <w:rPr>
              <w:rFonts w:hint="eastAsia" w:ascii="楷体" w:hAnsi="楷体" w:eastAsia="楷体" w:cs="楷体"/>
              <w:sz w:val="28"/>
              <w:szCs w:val="28"/>
            </w:rPr>
            <w:t>（二）境外学历（位）</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_Toc12941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_Toc7669 </w:instrText>
          </w:r>
          <w:r>
            <w:rPr>
              <w:rFonts w:hint="eastAsia" w:ascii="楷体" w:hAnsi="楷体" w:eastAsia="楷体" w:cs="楷体"/>
              <w:sz w:val="28"/>
              <w:szCs w:val="28"/>
            </w:rPr>
            <w:fldChar w:fldCharType="separate"/>
          </w:r>
          <w:r>
            <w:rPr>
              <w:rFonts w:hint="eastAsia" w:ascii="楷体" w:hAnsi="楷体" w:eastAsia="楷体" w:cs="楷体"/>
              <w:sz w:val="28"/>
              <w:szCs w:val="28"/>
            </w:rPr>
            <w:t>（三）福建省“双学位”“双专业”教育</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_Toc7669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_Toc1079 </w:instrText>
          </w:r>
          <w:r>
            <w:rPr>
              <w:rFonts w:hint="eastAsia" w:ascii="楷体" w:hAnsi="楷体" w:eastAsia="楷体" w:cs="楷体"/>
              <w:sz w:val="28"/>
              <w:szCs w:val="28"/>
            </w:rPr>
            <w:fldChar w:fldCharType="separate"/>
          </w:r>
          <w:r>
            <w:rPr>
              <w:rFonts w:hint="eastAsia" w:ascii="楷体" w:hAnsi="楷体" w:eastAsia="楷体" w:cs="楷体"/>
              <w:sz w:val="28"/>
              <w:szCs w:val="28"/>
            </w:rPr>
            <w:t>（四）提醒事项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_Toc1079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bCs/>
              <w:color w:val="000000" w:themeColor="text1"/>
              <w:szCs w:val="44"/>
              <w14:textFill>
                <w14:solidFill>
                  <w14:schemeClr w14:val="tx1"/>
                </w14:solidFill>
              </w14:textFill>
            </w:rPr>
            <w:fldChar w:fldCharType="begin"/>
          </w:r>
          <w:r>
            <w:rPr>
              <w:rFonts w:hint="eastAsia" w:ascii="宋体" w:hAnsi="宋体"/>
              <w:bCs/>
              <w:szCs w:val="44"/>
            </w:rPr>
            <w:instrText xml:space="preserve"> HYPERLINK \l _Toc17071 </w:instrText>
          </w:r>
          <w:r>
            <w:rPr>
              <w:rFonts w:hint="eastAsia" w:ascii="宋体" w:hAnsi="宋体"/>
              <w:bCs/>
              <w:szCs w:val="44"/>
            </w:rPr>
            <w:fldChar w:fldCharType="separate"/>
          </w:r>
          <w:r>
            <w:rPr>
              <w:rFonts w:hint="eastAsia" w:ascii="黑体" w:hAnsi="黑体" w:eastAsia="黑体" w:cs="黑体"/>
              <w:bCs/>
              <w:color w:val="000000" w:themeColor="text1"/>
              <w:sz w:val="28"/>
              <w:szCs w:val="28"/>
              <w14:textFill>
                <w14:solidFill>
                  <w14:schemeClr w14:val="tx1"/>
                </w14:solidFill>
              </w14:textFill>
            </w:rPr>
            <w:t>七、专业认定</w:t>
          </w:r>
          <w:r>
            <w:tab/>
          </w:r>
          <w:r>
            <w:fldChar w:fldCharType="begin"/>
          </w:r>
          <w:r>
            <w:instrText xml:space="preserve"> PAGEREF _Toc17071 \h </w:instrText>
          </w:r>
          <w:r>
            <w:fldChar w:fldCharType="separate"/>
          </w:r>
          <w:r>
            <w:t>7</w:t>
          </w:r>
          <w:r>
            <w:fldChar w:fldCharType="end"/>
          </w:r>
          <w:r>
            <w:rPr>
              <w:rFonts w:hint="eastAsia" w:ascii="宋体" w:hAnsi="宋体"/>
              <w:bCs/>
              <w:color w:val="000000" w:themeColor="text1"/>
              <w:szCs w:val="44"/>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_Toc13178 </w:instrText>
          </w:r>
          <w:r>
            <w:rPr>
              <w:rFonts w:hint="eastAsia" w:ascii="楷体" w:hAnsi="楷体" w:eastAsia="楷体" w:cs="楷体"/>
              <w:sz w:val="28"/>
              <w:szCs w:val="28"/>
            </w:rPr>
            <w:fldChar w:fldCharType="separate"/>
          </w:r>
          <w:r>
            <w:rPr>
              <w:rFonts w:hint="eastAsia" w:ascii="楷体" w:hAnsi="楷体" w:eastAsia="楷体" w:cs="楷体"/>
              <w:sz w:val="28"/>
              <w:szCs w:val="28"/>
            </w:rPr>
            <w:t>（一）填报专业名称</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_Toc13178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_Toc7347 </w:instrText>
          </w:r>
          <w:r>
            <w:rPr>
              <w:rFonts w:hint="eastAsia" w:ascii="楷体" w:hAnsi="楷体" w:eastAsia="楷体" w:cs="楷体"/>
              <w:sz w:val="28"/>
              <w:szCs w:val="28"/>
            </w:rPr>
            <w:fldChar w:fldCharType="separate"/>
          </w:r>
          <w:r>
            <w:rPr>
              <w:rFonts w:hint="eastAsia" w:ascii="楷体" w:hAnsi="楷体" w:eastAsia="楷体" w:cs="楷体"/>
              <w:sz w:val="28"/>
              <w:szCs w:val="28"/>
            </w:rPr>
            <w:t>（二）专业与学历（位）的对应关系</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_Toc7347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_Toc11691 </w:instrText>
          </w:r>
          <w:r>
            <w:rPr>
              <w:rFonts w:hint="eastAsia" w:ascii="楷体" w:hAnsi="楷体" w:eastAsia="楷体" w:cs="楷体"/>
              <w:sz w:val="28"/>
              <w:szCs w:val="28"/>
            </w:rPr>
            <w:fldChar w:fldCharType="separate"/>
          </w:r>
          <w:r>
            <w:rPr>
              <w:rFonts w:hint="eastAsia" w:ascii="楷体" w:hAnsi="楷体" w:eastAsia="楷体" w:cs="楷体"/>
              <w:sz w:val="28"/>
              <w:szCs w:val="28"/>
            </w:rPr>
            <w:t>（三）专业资格的认定</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_Toc11691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_Toc22150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八、工作经验认定</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_Toc22150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9</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_Toc17311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lang w:eastAsia="zh-CN"/>
              <w14:textFill>
                <w14:solidFill>
                  <w14:schemeClr w14:val="tx1"/>
                </w14:solidFill>
              </w14:textFill>
            </w:rPr>
            <w:t>九</w:t>
          </w:r>
          <w:r>
            <w:rPr>
              <w:rFonts w:hint="eastAsia" w:ascii="黑体" w:hAnsi="黑体" w:eastAsia="黑体" w:cs="黑体"/>
              <w:bCs/>
              <w:color w:val="000000" w:themeColor="text1"/>
              <w:sz w:val="28"/>
              <w:szCs w:val="28"/>
              <w14:textFill>
                <w14:solidFill>
                  <w14:schemeClr w14:val="tx1"/>
                </w14:solidFill>
              </w14:textFill>
            </w:rPr>
            <w:t>、体检</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_Toc17311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9</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_Toc5253 </w:instrText>
          </w:r>
          <w:r>
            <w:rPr>
              <w:rFonts w:hint="eastAsia" w:ascii="楷体" w:hAnsi="楷体" w:eastAsia="楷体" w:cs="楷体"/>
              <w:sz w:val="28"/>
              <w:szCs w:val="28"/>
            </w:rPr>
            <w:fldChar w:fldCharType="separate"/>
          </w:r>
          <w:r>
            <w:rPr>
              <w:rFonts w:hint="eastAsia" w:ascii="楷体" w:hAnsi="楷体" w:eastAsia="楷体" w:cs="楷体"/>
              <w:sz w:val="28"/>
              <w:szCs w:val="28"/>
            </w:rPr>
            <w:t>（一）确定人选</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_Toc5253 \h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_Toc11182 </w:instrText>
          </w:r>
          <w:r>
            <w:rPr>
              <w:rFonts w:hint="eastAsia" w:ascii="楷体" w:hAnsi="楷体" w:eastAsia="楷体" w:cs="楷体"/>
              <w:sz w:val="28"/>
              <w:szCs w:val="28"/>
            </w:rPr>
            <w:fldChar w:fldCharType="separate"/>
          </w:r>
          <w:r>
            <w:rPr>
              <w:rFonts w:hint="eastAsia" w:ascii="楷体" w:hAnsi="楷体" w:eastAsia="楷体" w:cs="楷体"/>
              <w:sz w:val="28"/>
              <w:szCs w:val="28"/>
            </w:rPr>
            <w:t>（二）组织体检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_Toc11182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_Toc4437 </w:instrText>
          </w:r>
          <w:r>
            <w:rPr>
              <w:rFonts w:hint="eastAsia" w:ascii="楷体" w:hAnsi="楷体" w:eastAsia="楷体" w:cs="楷体"/>
              <w:sz w:val="28"/>
              <w:szCs w:val="28"/>
            </w:rPr>
            <w:fldChar w:fldCharType="separate"/>
          </w:r>
          <w:r>
            <w:rPr>
              <w:rFonts w:hint="eastAsia" w:ascii="楷体" w:hAnsi="楷体" w:eastAsia="楷体" w:cs="楷体"/>
              <w:sz w:val="28"/>
              <w:szCs w:val="28"/>
            </w:rPr>
            <w:t>（三）体检依据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_Toc4437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_Toc17645 </w:instrText>
          </w:r>
          <w:r>
            <w:rPr>
              <w:rFonts w:hint="eastAsia" w:ascii="楷体" w:hAnsi="楷体" w:eastAsia="楷体" w:cs="楷体"/>
              <w:sz w:val="28"/>
              <w:szCs w:val="28"/>
            </w:rPr>
            <w:fldChar w:fldCharType="separate"/>
          </w:r>
          <w:r>
            <w:rPr>
              <w:rFonts w:hint="eastAsia" w:ascii="楷体" w:hAnsi="楷体" w:eastAsia="楷体" w:cs="楷体"/>
              <w:sz w:val="28"/>
              <w:szCs w:val="28"/>
            </w:rPr>
            <w:t>（四）体检复检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_Toc17645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_Toc2732 </w:instrText>
          </w:r>
          <w:r>
            <w:rPr>
              <w:rFonts w:hint="eastAsia" w:ascii="楷体" w:hAnsi="楷体" w:eastAsia="楷体" w:cs="楷体"/>
              <w:sz w:val="28"/>
              <w:szCs w:val="28"/>
            </w:rPr>
            <w:fldChar w:fldCharType="separate"/>
          </w:r>
          <w:r>
            <w:rPr>
              <w:rFonts w:hint="eastAsia" w:ascii="楷体" w:hAnsi="楷体" w:eastAsia="楷体" w:cs="楷体"/>
              <w:sz w:val="28"/>
              <w:szCs w:val="28"/>
            </w:rPr>
            <w:t>（五）可延迟体检的情形</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_Toc2732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_Toc11595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十、考察</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_Toc11595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11</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_Toc27018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十</w:t>
          </w:r>
          <w:r>
            <w:rPr>
              <w:rFonts w:hint="eastAsia" w:ascii="黑体" w:hAnsi="黑体" w:eastAsia="黑体" w:cs="黑体"/>
              <w:bCs/>
              <w:color w:val="000000" w:themeColor="text1"/>
              <w:sz w:val="28"/>
              <w:szCs w:val="28"/>
              <w:lang w:eastAsia="zh-CN"/>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、聘用</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_Toc27018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12</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HYPERLINK \l _Toc2411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十</w:t>
          </w:r>
          <w:r>
            <w:rPr>
              <w:rFonts w:hint="eastAsia" w:ascii="黑体" w:hAnsi="黑体" w:eastAsia="黑体" w:cs="黑体"/>
              <w:bCs/>
              <w:color w:val="000000" w:themeColor="text1"/>
              <w:sz w:val="28"/>
              <w:szCs w:val="28"/>
              <w:lang w:eastAsia="zh-CN"/>
              <w14:textFill>
                <w14:solidFill>
                  <w14:schemeClr w14:val="tx1"/>
                </w14:solidFill>
              </w14:textFill>
            </w:rPr>
            <w:t>二</w:t>
          </w:r>
          <w:r>
            <w:rPr>
              <w:rFonts w:hint="eastAsia" w:ascii="黑体" w:hAnsi="黑体" w:eastAsia="黑体" w:cs="黑体"/>
              <w:bCs/>
              <w:color w:val="000000" w:themeColor="text1"/>
              <w:sz w:val="28"/>
              <w:szCs w:val="28"/>
              <w14:textFill>
                <w14:solidFill>
                  <w14:schemeClr w14:val="tx1"/>
                </w14:solidFill>
              </w14:textFill>
            </w:rPr>
            <w:t>、其他事项</w:t>
          </w:r>
          <w:r>
            <w:rPr>
              <w:rFonts w:hint="eastAsia" w:ascii="黑体" w:hAnsi="黑体" w:eastAsia="黑体" w:cs="黑体"/>
              <w:bCs/>
              <w:color w:val="000000" w:themeColor="text1"/>
              <w:sz w:val="28"/>
              <w:szCs w:val="28"/>
              <w14:textFill>
                <w14:solidFill>
                  <w14:schemeClr w14:val="tx1"/>
                </w14:solidFill>
              </w14:textFill>
            </w:rPr>
            <w:tab/>
          </w:r>
          <w:r>
            <w:rPr>
              <w:rFonts w:hint="eastAsia" w:ascii="黑体" w:hAnsi="黑体" w:eastAsia="黑体" w:cs="黑体"/>
              <w:bCs/>
              <w:color w:val="000000" w:themeColor="text1"/>
              <w:sz w:val="28"/>
              <w:szCs w:val="28"/>
              <w14:textFill>
                <w14:solidFill>
                  <w14:schemeClr w14:val="tx1"/>
                </w14:solidFill>
              </w14:textFill>
            </w:rPr>
            <w:fldChar w:fldCharType="begin"/>
          </w:r>
          <w:r>
            <w:rPr>
              <w:rFonts w:hint="eastAsia" w:ascii="黑体" w:hAnsi="黑体" w:eastAsia="黑体" w:cs="黑体"/>
              <w:bCs/>
              <w:color w:val="000000" w:themeColor="text1"/>
              <w:sz w:val="28"/>
              <w:szCs w:val="28"/>
              <w14:textFill>
                <w14:solidFill>
                  <w14:schemeClr w14:val="tx1"/>
                </w14:solidFill>
              </w14:textFill>
            </w:rPr>
            <w:instrText xml:space="preserve"> PAGEREF _Toc2411 \h </w:instrText>
          </w:r>
          <w:r>
            <w:rPr>
              <w:rFonts w:hint="eastAsia" w:ascii="黑体" w:hAnsi="黑体" w:eastAsia="黑体" w:cs="黑体"/>
              <w:bCs/>
              <w:color w:val="000000" w:themeColor="text1"/>
              <w:sz w:val="28"/>
              <w:szCs w:val="28"/>
              <w14:textFill>
                <w14:solidFill>
                  <w14:schemeClr w14:val="tx1"/>
                </w14:solidFill>
              </w14:textFill>
            </w:rPr>
            <w:fldChar w:fldCharType="separate"/>
          </w:r>
          <w:r>
            <w:rPr>
              <w:rFonts w:hint="eastAsia" w:ascii="黑体" w:hAnsi="黑体" w:eastAsia="黑体" w:cs="黑体"/>
              <w:bCs/>
              <w:color w:val="000000" w:themeColor="text1"/>
              <w:sz w:val="28"/>
              <w:szCs w:val="28"/>
              <w14:textFill>
                <w14:solidFill>
                  <w14:schemeClr w14:val="tx1"/>
                </w14:solidFill>
              </w14:textFill>
            </w:rPr>
            <w:t>12</w:t>
          </w:r>
          <w:r>
            <w:rPr>
              <w:rFonts w:hint="eastAsia" w:ascii="黑体" w:hAnsi="黑体" w:eastAsia="黑体" w:cs="黑体"/>
              <w:bCs/>
              <w:color w:val="000000" w:themeColor="text1"/>
              <w:sz w:val="28"/>
              <w:szCs w:val="28"/>
              <w14:textFill>
                <w14:solidFill>
                  <w14:schemeClr w14:val="tx1"/>
                </w14:solidFill>
              </w14:textFill>
            </w:rPr>
            <w:fldChar w:fldCharType="end"/>
          </w:r>
          <w:r>
            <w:rPr>
              <w:rFonts w:hint="eastAsia" w:ascii="黑体" w:hAnsi="黑体" w:eastAsia="黑体" w:cs="黑体"/>
              <w:bCs/>
              <w:color w:val="000000" w:themeColor="text1"/>
              <w:sz w:val="28"/>
              <w:szCs w:val="28"/>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_Toc10525 </w:instrText>
          </w:r>
          <w:r>
            <w:rPr>
              <w:rFonts w:hint="eastAsia" w:ascii="楷体" w:hAnsi="楷体" w:eastAsia="楷体" w:cs="楷体"/>
              <w:sz w:val="28"/>
              <w:szCs w:val="28"/>
            </w:rPr>
            <w:fldChar w:fldCharType="separate"/>
          </w:r>
          <w:r>
            <w:rPr>
              <w:rFonts w:hint="eastAsia" w:ascii="楷体" w:hAnsi="楷体" w:eastAsia="楷体" w:cs="楷体"/>
              <w:sz w:val="28"/>
              <w:szCs w:val="28"/>
            </w:rPr>
            <w:t>（一）中共党员</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_Toc10525 \h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_Toc5234 </w:instrText>
          </w:r>
          <w:r>
            <w:rPr>
              <w:rFonts w:hint="eastAsia" w:ascii="楷体" w:hAnsi="楷体" w:eastAsia="楷体" w:cs="楷体"/>
              <w:sz w:val="28"/>
              <w:szCs w:val="28"/>
            </w:rPr>
            <w:fldChar w:fldCharType="separate"/>
          </w:r>
          <w:r>
            <w:rPr>
              <w:rFonts w:hint="eastAsia" w:ascii="楷体" w:hAnsi="楷体" w:eastAsia="楷体" w:cs="楷体"/>
              <w:sz w:val="28"/>
              <w:szCs w:val="28"/>
            </w:rPr>
            <w:t>（二）职称</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_Toc5234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_Toc23015 </w:instrText>
          </w:r>
          <w:r>
            <w:rPr>
              <w:rFonts w:hint="eastAsia" w:ascii="楷体" w:hAnsi="楷体" w:eastAsia="楷体" w:cs="楷体"/>
              <w:sz w:val="28"/>
              <w:szCs w:val="28"/>
            </w:rPr>
            <w:fldChar w:fldCharType="separate"/>
          </w:r>
          <w:r>
            <w:rPr>
              <w:rFonts w:hint="eastAsia" w:ascii="楷体" w:hAnsi="楷体" w:eastAsia="楷体" w:cs="楷体"/>
              <w:sz w:val="28"/>
              <w:szCs w:val="28"/>
            </w:rPr>
            <w:t>（三）规范化培训</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_Toc23015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_Toc32545 </w:instrText>
          </w:r>
          <w:r>
            <w:rPr>
              <w:rFonts w:hint="eastAsia" w:ascii="楷体" w:hAnsi="楷体" w:eastAsia="楷体" w:cs="楷体"/>
              <w:sz w:val="28"/>
              <w:szCs w:val="28"/>
            </w:rPr>
            <w:fldChar w:fldCharType="separate"/>
          </w:r>
          <w:r>
            <w:rPr>
              <w:rFonts w:hint="eastAsia" w:ascii="楷体" w:hAnsi="楷体" w:eastAsia="楷体" w:cs="楷体"/>
              <w:sz w:val="28"/>
              <w:szCs w:val="28"/>
            </w:rPr>
            <w:t>（</w:t>
          </w:r>
          <w:r>
            <w:rPr>
              <w:rFonts w:hint="eastAsia" w:ascii="楷体" w:hAnsi="楷体" w:eastAsia="楷体" w:cs="楷体"/>
              <w:sz w:val="28"/>
              <w:szCs w:val="28"/>
              <w:lang w:eastAsia="zh-CN"/>
            </w:rPr>
            <w:t>四</w:t>
          </w:r>
          <w:r>
            <w:rPr>
              <w:rFonts w:hint="eastAsia" w:ascii="楷体" w:hAnsi="楷体" w:eastAsia="楷体" w:cs="楷体"/>
              <w:sz w:val="28"/>
              <w:szCs w:val="28"/>
            </w:rPr>
            <w:t>）港澳台人员</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_Toc32545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_Toc19159 </w:instrText>
          </w:r>
          <w:r>
            <w:rPr>
              <w:rFonts w:hint="eastAsia" w:ascii="楷体" w:hAnsi="楷体" w:eastAsia="楷体" w:cs="楷体"/>
              <w:sz w:val="28"/>
              <w:szCs w:val="28"/>
            </w:rPr>
            <w:fldChar w:fldCharType="separate"/>
          </w:r>
          <w:r>
            <w:rPr>
              <w:rFonts w:hint="eastAsia" w:ascii="楷体" w:hAnsi="楷体" w:eastAsia="楷体" w:cs="楷体"/>
              <w:sz w:val="28"/>
              <w:szCs w:val="28"/>
            </w:rPr>
            <w:t>（</w:t>
          </w:r>
          <w:r>
            <w:rPr>
              <w:rFonts w:hint="eastAsia" w:ascii="楷体" w:hAnsi="楷体" w:eastAsia="楷体" w:cs="楷体"/>
              <w:sz w:val="28"/>
              <w:szCs w:val="28"/>
              <w:lang w:eastAsia="zh-CN"/>
            </w:rPr>
            <w:t>五</w:t>
          </w:r>
          <w:r>
            <w:rPr>
              <w:rFonts w:hint="eastAsia" w:ascii="楷体" w:hAnsi="楷体" w:eastAsia="楷体" w:cs="楷体"/>
              <w:sz w:val="28"/>
              <w:szCs w:val="28"/>
            </w:rPr>
            <w:t>）技工院校毕业生</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_Toc19159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bCs/>
              <w:color w:val="000000" w:themeColor="text1"/>
              <w:szCs w:val="44"/>
              <w14:textFill>
                <w14:solidFill>
                  <w14:schemeClr w14:val="tx1"/>
                </w14:solidFill>
              </w14:textFill>
            </w:rPr>
            <w:fldChar w:fldCharType="begin"/>
          </w:r>
          <w:r>
            <w:rPr>
              <w:rFonts w:hint="eastAsia" w:ascii="宋体" w:hAnsi="宋体"/>
              <w:bCs/>
              <w:szCs w:val="44"/>
            </w:rPr>
            <w:instrText xml:space="preserve"> HYPERLINK \l _Toc8440 </w:instrText>
          </w:r>
          <w:r>
            <w:rPr>
              <w:rFonts w:hint="eastAsia" w:ascii="宋体" w:hAnsi="宋体"/>
              <w:bCs/>
              <w:szCs w:val="44"/>
            </w:rPr>
            <w:fldChar w:fldCharType="separate"/>
          </w:r>
          <w:r>
            <w:rPr>
              <w:rFonts w:hint="eastAsia" w:ascii="黑体" w:hAnsi="黑体" w:eastAsia="黑体" w:cs="黑体"/>
              <w:bCs/>
              <w:color w:val="000000" w:themeColor="text1"/>
              <w:sz w:val="28"/>
              <w:szCs w:val="28"/>
              <w14:textFill>
                <w14:solidFill>
                  <w14:schemeClr w14:val="tx1"/>
                </w14:solidFill>
              </w14:textFill>
            </w:rPr>
            <w:t>十</w:t>
          </w:r>
          <w:r>
            <w:rPr>
              <w:rFonts w:hint="eastAsia" w:ascii="黑体" w:hAnsi="黑体" w:eastAsia="黑体" w:cs="黑体"/>
              <w:bCs/>
              <w:color w:val="000000" w:themeColor="text1"/>
              <w:sz w:val="28"/>
              <w:szCs w:val="28"/>
              <w:lang w:eastAsia="zh-CN"/>
              <w14:textFill>
                <w14:solidFill>
                  <w14:schemeClr w14:val="tx1"/>
                </w14:solidFill>
              </w14:textFill>
            </w:rPr>
            <w:t>三</w:t>
          </w:r>
          <w:r>
            <w:rPr>
              <w:rFonts w:hint="eastAsia" w:ascii="黑体" w:hAnsi="黑体" w:eastAsia="黑体" w:cs="黑体"/>
              <w:bCs/>
              <w:color w:val="000000" w:themeColor="text1"/>
              <w:sz w:val="28"/>
              <w:szCs w:val="28"/>
              <w14:textFill>
                <w14:solidFill>
                  <w14:schemeClr w14:val="tx1"/>
                </w14:solidFill>
              </w14:textFill>
            </w:rPr>
            <w:t>、疫情防控要求</w:t>
          </w:r>
          <w:r>
            <w:tab/>
          </w:r>
          <w:r>
            <w:fldChar w:fldCharType="begin"/>
          </w:r>
          <w:r>
            <w:instrText xml:space="preserve"> PAGEREF _Toc8440 \h </w:instrText>
          </w:r>
          <w:r>
            <w:fldChar w:fldCharType="separate"/>
          </w:r>
          <w:r>
            <w:t>14</w:t>
          </w:r>
          <w:r>
            <w:fldChar w:fldCharType="end"/>
          </w:r>
          <w:r>
            <w:rPr>
              <w:rFonts w:hint="eastAsia" w:ascii="宋体" w:hAnsi="宋体"/>
              <w:bCs/>
              <w:color w:val="000000" w:themeColor="text1"/>
              <w:szCs w:val="4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afterLines="100" w:line="440" w:lineRule="exact"/>
            <w:jc w:val="center"/>
            <w:textAlignment w:val="auto"/>
            <w:rPr>
              <w:rFonts w:hint="eastAsia" w:ascii="宋体" w:hAnsi="宋体"/>
              <w:b/>
              <w:bCs/>
              <w:color w:val="000000" w:themeColor="text1"/>
              <w:sz w:val="44"/>
              <w:szCs w:val="44"/>
              <w14:textFill>
                <w14:solidFill>
                  <w14:schemeClr w14:val="tx1"/>
                </w14:solidFill>
              </w14:textFill>
            </w:rPr>
          </w:pPr>
          <w:r>
            <w:rPr>
              <w:rFonts w:hint="eastAsia" w:ascii="宋体" w:hAnsi="宋体"/>
              <w:bCs/>
              <w:color w:val="000000" w:themeColor="text1"/>
              <w:szCs w:val="44"/>
              <w14:textFill>
                <w14:solidFill>
                  <w14:schemeClr w14:val="tx1"/>
                </w14:solidFill>
              </w14:textFill>
            </w:rPr>
            <w:fldChar w:fldCharType="end"/>
          </w:r>
        </w:p>
      </w:sdtContent>
    </w:sdt>
    <w:p>
      <w:pPr>
        <w:spacing w:line="420" w:lineRule="exact"/>
        <w:ind w:firstLine="640" w:firstLineChars="200"/>
        <w:rPr>
          <w:rFonts w:hint="default" w:ascii="??_GB2312" w:eastAsia="宋体"/>
          <w:color w:val="000000" w:themeColor="text1"/>
          <w:sz w:val="32"/>
          <w:szCs w:val="32"/>
          <w:lang w:val="en-US" w:eastAsia="zh-CN"/>
          <w14:textFill>
            <w14:solidFill>
              <w14:schemeClr w14:val="tx1"/>
            </w14:solidFill>
          </w14:textFill>
        </w:rPr>
      </w:pPr>
      <w:bookmarkStart w:id="311" w:name="_GoBack"/>
      <w:bookmarkEnd w:id="311"/>
    </w:p>
    <w:p>
      <w:pPr>
        <w:spacing w:line="420" w:lineRule="exact"/>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0" w:num="1"/>
          <w:docGrid w:type="lines" w:linePitch="312" w:charSpace="0"/>
        </w:sectPr>
      </w:pPr>
    </w:p>
    <w:p>
      <w:pPr>
        <w:ind w:firstLine="640" w:firstLineChars="200"/>
        <w:rPr>
          <w:rFonts w:ascii="??_GB2312" w:eastAsia="Times New Roman"/>
          <w:b/>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本指南仅适用于</w:t>
      </w:r>
      <w:r>
        <w:rPr>
          <w:rFonts w:hint="eastAsia" w:ascii="??_GB2312"/>
          <w:color w:val="000000" w:themeColor="text1"/>
          <w:sz w:val="32"/>
          <w:szCs w:val="32"/>
          <w:lang w:eastAsia="zh-CN"/>
          <w14:textFill>
            <w14:solidFill>
              <w14:schemeClr w14:val="tx1"/>
            </w14:solidFill>
          </w14:textFill>
        </w:rPr>
        <w:t>厦门医学院附属口腔医院</w:t>
      </w:r>
      <w:r>
        <w:rPr>
          <w:rFonts w:ascii="??_GB2312" w:eastAsia="Times New Roman"/>
          <w:color w:val="000000" w:themeColor="text1"/>
          <w:sz w:val="32"/>
          <w:szCs w:val="32"/>
          <w14:textFill>
            <w14:solidFill>
              <w14:schemeClr w14:val="tx1"/>
            </w14:solidFill>
          </w14:textFill>
        </w:rPr>
        <w:t>补充编</w:t>
      </w:r>
      <w:r>
        <w:rPr>
          <w:rFonts w:hint="eastAsia" w:ascii="??_GB2312"/>
          <w:color w:val="000000" w:themeColor="text1"/>
          <w:sz w:val="32"/>
          <w:szCs w:val="32"/>
          <w:lang w:eastAsia="zh-CN"/>
          <w14:textFill>
            <w14:solidFill>
              <w14:schemeClr w14:val="tx1"/>
            </w14:solidFill>
          </w14:textFill>
        </w:rPr>
        <w:t>外</w:t>
      </w:r>
      <w:r>
        <w:rPr>
          <w:rFonts w:ascii="??_GB2312" w:eastAsia="Times New Roman"/>
          <w:color w:val="000000" w:themeColor="text1"/>
          <w:sz w:val="32"/>
          <w:szCs w:val="32"/>
          <w14:textFill>
            <w14:solidFill>
              <w14:schemeClr w14:val="tx1"/>
            </w14:solidFill>
          </w14:textFill>
        </w:rPr>
        <w:t>工作人员招聘考试（2021年</w:t>
      </w:r>
      <w:r>
        <w:rPr>
          <w:rFonts w:hint="eastAsia" w:ascii="??_GB2312"/>
          <w:color w:val="000000" w:themeColor="text1"/>
          <w:sz w:val="32"/>
          <w:szCs w:val="32"/>
          <w:lang w:val="en-US" w:eastAsia="zh-CN"/>
          <w14:textFill>
            <w14:solidFill>
              <w14:schemeClr w14:val="tx1"/>
            </w14:solidFill>
          </w14:textFill>
        </w:rPr>
        <w:t>12</w:t>
      </w:r>
      <w:r>
        <w:rPr>
          <w:rFonts w:ascii="??_GB2312" w:eastAsia="Times New Roman"/>
          <w:color w:val="000000" w:themeColor="text1"/>
          <w:sz w:val="32"/>
          <w:szCs w:val="32"/>
          <w14:textFill>
            <w14:solidFill>
              <w14:schemeClr w14:val="tx1"/>
            </w14:solidFill>
          </w14:textFill>
        </w:rPr>
        <w:t>月），由</w:t>
      </w:r>
      <w:r>
        <w:rPr>
          <w:rFonts w:hint="eastAsia" w:ascii="??_GB2312"/>
          <w:color w:val="000000" w:themeColor="text1"/>
          <w:sz w:val="32"/>
          <w:szCs w:val="32"/>
          <w:lang w:eastAsia="zh-CN"/>
          <w14:textFill>
            <w14:solidFill>
              <w14:schemeClr w14:val="tx1"/>
            </w14:solidFill>
          </w14:textFill>
        </w:rPr>
        <w:t>厦门医学院附属口腔医院</w:t>
      </w:r>
      <w:r>
        <w:rPr>
          <w:rFonts w:ascii="??_GB2312" w:eastAsia="Times New Roman"/>
          <w:color w:val="000000" w:themeColor="text1"/>
          <w:sz w:val="32"/>
          <w:szCs w:val="32"/>
          <w14:textFill>
            <w14:solidFill>
              <w14:schemeClr w14:val="tx1"/>
            </w14:solidFill>
          </w14:textFill>
        </w:rPr>
        <w:t>解释。</w:t>
      </w:r>
    </w:p>
    <w:p>
      <w:pPr>
        <w:pStyle w:val="2"/>
        <w:rPr>
          <w:rFonts w:ascii="黑体" w:hAnsi="黑体" w:eastAsia="黑体" w:cs="黑体"/>
          <w:color w:val="000000" w:themeColor="text1"/>
          <w:sz w:val="32"/>
          <w:szCs w:val="32"/>
          <w14:textFill>
            <w14:solidFill>
              <w14:schemeClr w14:val="tx1"/>
            </w14:solidFill>
          </w14:textFill>
        </w:rPr>
      </w:pPr>
      <w:bookmarkStart w:id="1" w:name="_Toc14381"/>
      <w:bookmarkStart w:id="2" w:name="_Toc10459"/>
      <w:bookmarkStart w:id="3" w:name="_Toc14912"/>
      <w:bookmarkStart w:id="4" w:name="_Toc23801"/>
      <w:bookmarkStart w:id="5" w:name="_Toc3629"/>
      <w:bookmarkStart w:id="6" w:name="_Toc26791"/>
      <w:bookmarkStart w:id="7" w:name="_Toc27269"/>
      <w:r>
        <w:rPr>
          <w:rFonts w:hint="eastAsia" w:ascii="黑体" w:hAnsi="黑体" w:eastAsia="黑体" w:cs="黑体"/>
          <w:color w:val="000000" w:themeColor="text1"/>
          <w:sz w:val="32"/>
          <w:szCs w:val="32"/>
          <w14:textFill>
            <w14:solidFill>
              <w14:schemeClr w14:val="tx1"/>
            </w14:solidFill>
          </w14:textFill>
        </w:rPr>
        <w:t>一、基本条件</w:t>
      </w:r>
      <w:bookmarkEnd w:id="1"/>
      <w:bookmarkEnd w:id="2"/>
      <w:bookmarkEnd w:id="3"/>
      <w:bookmarkEnd w:id="4"/>
      <w:bookmarkEnd w:id="5"/>
      <w:bookmarkEnd w:id="6"/>
      <w:bookmarkEnd w:id="7"/>
    </w:p>
    <w:p>
      <w:pPr>
        <w:ind w:firstLine="640" w:firstLineChars="200"/>
        <w:rPr>
          <w:rFonts w:ascii="??_GB2312" w:eastAsia="Times New Roman"/>
          <w:color w:val="000000" w:themeColor="text1"/>
          <w:sz w:val="32"/>
          <w:szCs w:val="32"/>
          <w14:textFill>
            <w14:solidFill>
              <w14:schemeClr w14:val="tx1"/>
            </w14:solidFill>
          </w14:textFill>
        </w:rPr>
      </w:pPr>
      <w:bookmarkStart w:id="8" w:name="_Toc29243_WPSOffice_Level2"/>
      <w:bookmarkStart w:id="9" w:name="_Toc9119_WPSOffice_Level2"/>
      <w:bookmarkStart w:id="10" w:name="_Toc19262_WPSOffice_Level2"/>
      <w:bookmarkStart w:id="11" w:name="_Toc17638_WPSOffice_Level2"/>
      <w:r>
        <w:rPr>
          <w:rFonts w:ascii="??_GB2312" w:eastAsia="Times New Roman"/>
          <w:color w:val="000000" w:themeColor="text1"/>
          <w:sz w:val="32"/>
          <w:szCs w:val="32"/>
          <w14:textFill>
            <w14:solidFill>
              <w14:schemeClr w14:val="tx1"/>
            </w14:solidFill>
          </w14:textFill>
        </w:rPr>
        <w:t>（一）具有中华人民共和国国籍；</w:t>
      </w:r>
      <w:bookmarkEnd w:id="8"/>
      <w:bookmarkEnd w:id="9"/>
      <w:bookmarkEnd w:id="10"/>
      <w:bookmarkEnd w:id="11"/>
    </w:p>
    <w:p>
      <w:pPr>
        <w:ind w:firstLine="640" w:firstLineChars="200"/>
        <w:rPr>
          <w:rFonts w:ascii="??_GB2312" w:eastAsia="Times New Roman"/>
          <w:color w:val="000000" w:themeColor="text1"/>
          <w:sz w:val="32"/>
          <w:szCs w:val="32"/>
          <w14:textFill>
            <w14:solidFill>
              <w14:schemeClr w14:val="tx1"/>
            </w14:solidFill>
          </w14:textFill>
        </w:rPr>
      </w:pPr>
      <w:bookmarkStart w:id="12" w:name="_Toc12392_WPSOffice_Level2"/>
      <w:bookmarkStart w:id="13" w:name="_Toc4207_WPSOffice_Level2"/>
      <w:bookmarkStart w:id="14" w:name="_Toc11941_WPSOffice_Level2"/>
      <w:bookmarkStart w:id="15" w:name="_Toc17350_WPSOffice_Level2"/>
      <w:r>
        <w:rPr>
          <w:rFonts w:ascii="??_GB2312" w:eastAsia="Times New Roman"/>
          <w:color w:val="000000" w:themeColor="text1"/>
          <w:sz w:val="32"/>
          <w:szCs w:val="32"/>
          <w14:textFill>
            <w14:solidFill>
              <w14:schemeClr w14:val="tx1"/>
            </w14:solidFill>
          </w14:textFill>
        </w:rPr>
        <w:t>（二）拥护中华人民共和国宪法</w:t>
      </w:r>
      <w:r>
        <w:rPr>
          <w:rFonts w:hint="eastAsia" w:ascii="??_GB2312" w:eastAsia="Times New Roman"/>
          <w:color w:val="000000" w:themeColor="text1"/>
          <w:sz w:val="32"/>
          <w:szCs w:val="32"/>
          <w14:textFill>
            <w14:solidFill>
              <w14:schemeClr w14:val="tx1"/>
            </w14:solidFill>
          </w14:textFill>
        </w:rPr>
        <w:t>，</w:t>
      </w:r>
      <w:r>
        <w:rPr>
          <w:rFonts w:ascii="??_GB2312" w:eastAsia="Times New Roman"/>
          <w:color w:val="000000" w:themeColor="text1"/>
          <w:sz w:val="32"/>
          <w:szCs w:val="32"/>
          <w14:textFill>
            <w14:solidFill>
              <w14:schemeClr w14:val="tx1"/>
            </w14:solidFill>
          </w14:textFill>
        </w:rPr>
        <w:t>拥护中国共产党领导和社会主义制度；</w:t>
      </w:r>
      <w:bookmarkEnd w:id="12"/>
      <w:bookmarkEnd w:id="13"/>
      <w:bookmarkEnd w:id="14"/>
      <w:bookmarkEnd w:id="15"/>
    </w:p>
    <w:p>
      <w:pPr>
        <w:ind w:firstLine="640" w:firstLineChars="200"/>
        <w:rPr>
          <w:rFonts w:ascii="??_GB2312" w:eastAsia="Times New Roman"/>
          <w:color w:val="000000" w:themeColor="text1"/>
          <w:sz w:val="32"/>
          <w:szCs w:val="32"/>
          <w14:textFill>
            <w14:solidFill>
              <w14:schemeClr w14:val="tx1"/>
            </w14:solidFill>
          </w14:textFill>
        </w:rPr>
      </w:pPr>
      <w:bookmarkStart w:id="16" w:name="_Toc9634_WPSOffice_Level2"/>
      <w:bookmarkStart w:id="17" w:name="_Toc7847_WPSOffice_Level2"/>
      <w:bookmarkStart w:id="18" w:name="_Toc20094_WPSOffice_Level2"/>
      <w:bookmarkStart w:id="19" w:name="_Toc6014_WPSOffice_Level2"/>
      <w:r>
        <w:rPr>
          <w:rFonts w:ascii="??_GB2312" w:eastAsia="Times New Roman"/>
          <w:color w:val="000000" w:themeColor="text1"/>
          <w:sz w:val="32"/>
          <w:szCs w:val="32"/>
          <w14:textFill>
            <w14:solidFill>
              <w14:schemeClr w14:val="tx1"/>
            </w14:solidFill>
          </w14:textFill>
        </w:rPr>
        <w:t>（三）</w:t>
      </w:r>
      <w:bookmarkEnd w:id="16"/>
      <w:bookmarkEnd w:id="17"/>
      <w:bookmarkEnd w:id="18"/>
      <w:bookmarkEnd w:id="19"/>
      <w:r>
        <w:rPr>
          <w:rFonts w:ascii="??_GB2312" w:eastAsia="Times New Roman"/>
          <w:color w:val="000000" w:themeColor="text1"/>
          <w:sz w:val="32"/>
          <w:szCs w:val="32"/>
          <w14:textFill>
            <w14:solidFill>
              <w14:schemeClr w14:val="tx1"/>
            </w14:solidFill>
          </w14:textFill>
        </w:rPr>
        <w:t>热爱卫生健康事业，具有良好的政治素质和职业道德；</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（四）具有正常履行职责的身体条件和心理素质；</w:t>
      </w:r>
    </w:p>
    <w:p>
      <w:pPr>
        <w:ind w:firstLine="640" w:firstLineChars="200"/>
        <w:rPr>
          <w:rFonts w:ascii="??_GB2312" w:eastAsia="Times New Roman"/>
          <w:color w:val="000000" w:themeColor="text1"/>
          <w:sz w:val="32"/>
          <w:szCs w:val="32"/>
          <w14:textFill>
            <w14:solidFill>
              <w14:schemeClr w14:val="tx1"/>
            </w14:solidFill>
          </w14:textFill>
        </w:rPr>
      </w:pPr>
      <w:bookmarkStart w:id="20" w:name="_Toc10788_WPSOffice_Level2"/>
      <w:bookmarkStart w:id="21" w:name="_Toc26060_WPSOffice_Level2"/>
      <w:bookmarkStart w:id="22" w:name="_Toc19929_WPSOffice_Level2"/>
      <w:bookmarkStart w:id="23" w:name="_Toc4758_WPSOffice_Level2"/>
      <w:r>
        <w:rPr>
          <w:rFonts w:ascii="??_GB2312" w:eastAsia="Times New Roman"/>
          <w:color w:val="000000" w:themeColor="text1"/>
          <w:sz w:val="32"/>
          <w:szCs w:val="32"/>
          <w14:textFill>
            <w14:solidFill>
              <w14:schemeClr w14:val="tx1"/>
            </w14:solidFill>
          </w14:textFill>
        </w:rPr>
        <w:t>（五）具备招聘岗位设置的资格条件。</w:t>
      </w:r>
      <w:bookmarkEnd w:id="20"/>
      <w:bookmarkEnd w:id="21"/>
      <w:bookmarkEnd w:id="22"/>
      <w:bookmarkEnd w:id="23"/>
    </w:p>
    <w:p>
      <w:pPr>
        <w:pStyle w:val="2"/>
        <w:rPr>
          <w:rFonts w:ascii="黑体" w:hAnsi="黑体" w:eastAsia="黑体" w:cs="黑体"/>
          <w:color w:val="000000" w:themeColor="text1"/>
          <w:sz w:val="32"/>
          <w:szCs w:val="32"/>
          <w14:textFill>
            <w14:solidFill>
              <w14:schemeClr w14:val="tx1"/>
            </w14:solidFill>
          </w14:textFill>
        </w:rPr>
      </w:pPr>
      <w:bookmarkStart w:id="24" w:name="_Toc5197"/>
      <w:bookmarkStart w:id="25" w:name="_Toc25192"/>
      <w:bookmarkStart w:id="26" w:name="_Toc25850"/>
      <w:bookmarkStart w:id="27" w:name="_Toc22673"/>
      <w:bookmarkStart w:id="28" w:name="_Toc24502"/>
      <w:bookmarkStart w:id="29" w:name="_Toc20470"/>
      <w:bookmarkStart w:id="30" w:name="_Toc3363"/>
      <w:bookmarkStart w:id="31" w:name="_Toc13899"/>
      <w:r>
        <w:rPr>
          <w:rFonts w:hint="eastAsia" w:ascii="黑体" w:hAnsi="黑体" w:eastAsia="黑体" w:cs="黑体"/>
          <w:color w:val="000000" w:themeColor="text1"/>
          <w:sz w:val="32"/>
          <w:szCs w:val="32"/>
          <w14:textFill>
            <w14:solidFill>
              <w14:schemeClr w14:val="tx1"/>
            </w14:solidFill>
          </w14:textFill>
        </w:rPr>
        <w:t>二、不得报考或取消报考（聘用）资格的情形</w:t>
      </w:r>
      <w:bookmarkEnd w:id="24"/>
      <w:bookmarkEnd w:id="25"/>
      <w:bookmarkEnd w:id="26"/>
      <w:bookmarkEnd w:id="27"/>
      <w:bookmarkEnd w:id="28"/>
      <w:bookmarkEnd w:id="29"/>
      <w:bookmarkEnd w:id="30"/>
      <w:bookmarkEnd w:id="31"/>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（一）曾因犯罪受过刑事处罚的；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（二）曾被开除公职或开除中国共产党党籍的；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（三）被依法列为失信联合惩戒对象的；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（四）曾在各级公务员或事业单位招考中被认定有舞弊等严重违反录(聘)用纪律行为的；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（五）公务员或参照公务员法管理机关（单位）工作人员（以下简称“参公人员”）被辞退未满5年的；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（六）试用期内的公务员或参公人员；未达到与当地公务员主管部门或单位组织人事部门约定服务年限的公务员和参公人员；</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（七）现役军人及普通高等院校全日制在读的非应届毕业生（即202</w:t>
      </w:r>
      <w:r>
        <w:rPr>
          <w:rFonts w:hint="eastAsia" w:ascii="??_GB2312"/>
          <w:color w:val="000000" w:themeColor="text1"/>
          <w:sz w:val="32"/>
          <w:szCs w:val="32"/>
          <w:lang w:val="en-US" w:eastAsia="zh-CN"/>
          <w14:textFill>
            <w14:solidFill>
              <w14:schemeClr w14:val="tx1"/>
            </w14:solidFill>
          </w14:textFill>
        </w:rPr>
        <w:t>2</w:t>
      </w:r>
      <w:r>
        <w:rPr>
          <w:rFonts w:hint="eastAsia" w:ascii="??_GB2312" w:eastAsia="Times New Roman"/>
          <w:color w:val="000000" w:themeColor="text1"/>
          <w:sz w:val="32"/>
          <w:szCs w:val="32"/>
          <w14:textFill>
            <w14:solidFill>
              <w14:schemeClr w14:val="tx1"/>
            </w14:solidFill>
          </w14:textFill>
        </w:rPr>
        <w:t>年及以后才学业期满的全日制普通教育学生）；</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（八）涉嫌违法犯罪正在接受司法调查尚未做出结论的，或尚未解除党（政）纪处分的，或正在接受纪律审查的;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（九）聘用后即构成应回避关系的；</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十）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（十一）法律法规规章规定不得聘为事业单位人员的其他情形。</w:t>
      </w:r>
      <w:bookmarkStart w:id="32" w:name="_Toc14770"/>
      <w:bookmarkStart w:id="33" w:name="_Toc6005"/>
      <w:bookmarkStart w:id="34" w:name="_Toc28345"/>
      <w:bookmarkStart w:id="35" w:name="_Toc24432"/>
      <w:bookmarkStart w:id="36" w:name="_Toc27877"/>
      <w:bookmarkStart w:id="37" w:name="_Toc32418"/>
      <w:bookmarkStart w:id="38" w:name="_Toc9365"/>
    </w:p>
    <w:p>
      <w:pPr>
        <w:pStyle w:val="2"/>
        <w:ind w:firstLine="0" w:firstLineChars="0"/>
        <w:rPr>
          <w:rFonts w:ascii="黑体" w:hAnsi="黑体" w:eastAsia="黑体" w:cs="黑体"/>
          <w:color w:val="000000" w:themeColor="text1"/>
          <w:sz w:val="32"/>
          <w:szCs w:val="32"/>
          <w14:textFill>
            <w14:solidFill>
              <w14:schemeClr w14:val="tx1"/>
            </w14:solidFill>
          </w14:textFill>
        </w:rPr>
      </w:pPr>
      <w:bookmarkStart w:id="39" w:name="_Toc13246"/>
      <w:r>
        <w:rPr>
          <w:rFonts w:hint="eastAsia" w:ascii="黑体" w:hAnsi="黑体" w:eastAsia="黑体" w:cs="黑体"/>
          <w:color w:val="000000" w:themeColor="text1"/>
          <w:sz w:val="32"/>
          <w:szCs w:val="32"/>
          <w14:textFill>
            <w14:solidFill>
              <w14:schemeClr w14:val="tx1"/>
            </w14:solidFill>
          </w14:textFill>
        </w:rPr>
        <w:t>三、选报岗位须知</w:t>
      </w:r>
      <w:bookmarkEnd w:id="32"/>
      <w:bookmarkEnd w:id="33"/>
      <w:bookmarkEnd w:id="34"/>
      <w:bookmarkEnd w:id="35"/>
      <w:bookmarkEnd w:id="36"/>
      <w:bookmarkEnd w:id="37"/>
      <w:bookmarkEnd w:id="38"/>
      <w:bookmarkEnd w:id="39"/>
      <w:bookmarkStart w:id="40" w:name="_Toc25581"/>
      <w:bookmarkStart w:id="41" w:name="_Toc9596"/>
      <w:bookmarkStart w:id="42" w:name="_Toc2901"/>
    </w:p>
    <w:bookmarkEnd w:id="40"/>
    <w:bookmarkEnd w:id="41"/>
    <w:bookmarkEnd w:id="42"/>
    <w:p>
      <w:pPr>
        <w:pStyle w:val="2"/>
        <w:rPr>
          <w:rFonts w:ascii="楷体" w:hAnsi="楷体" w:eastAsia="楷体" w:cs="楷体"/>
          <w:color w:val="000000" w:themeColor="text1"/>
          <w:sz w:val="32"/>
          <w:szCs w:val="32"/>
          <w14:textFill>
            <w14:solidFill>
              <w14:schemeClr w14:val="tx1"/>
            </w14:solidFill>
          </w14:textFill>
        </w:rPr>
      </w:pPr>
      <w:bookmarkStart w:id="43" w:name="_Toc20515"/>
      <w:bookmarkStart w:id="44" w:name="_Toc8174"/>
      <w:bookmarkStart w:id="45" w:name="_Toc20139"/>
      <w:bookmarkStart w:id="46" w:name="_Toc18587"/>
      <w:bookmarkStart w:id="47" w:name="_Toc7637"/>
      <w:bookmarkStart w:id="48" w:name="_Toc31635"/>
      <w:bookmarkStart w:id="49" w:name="_Toc3161"/>
      <w:bookmarkStart w:id="50" w:name="_Toc7876"/>
      <w:r>
        <w:rPr>
          <w:rFonts w:hint="eastAsia" w:ascii="楷体" w:hAnsi="楷体" w:eastAsia="楷体" w:cs="楷体"/>
          <w:color w:val="000000" w:themeColor="text1"/>
          <w:sz w:val="32"/>
          <w:szCs w:val="32"/>
          <w14:textFill>
            <w14:solidFill>
              <w14:schemeClr w14:val="tx1"/>
            </w14:solidFill>
          </w14:textFill>
        </w:rPr>
        <w:t>（一）照片</w:t>
      </w:r>
      <w:bookmarkEnd w:id="43"/>
      <w:bookmarkEnd w:id="44"/>
      <w:bookmarkEnd w:id="45"/>
      <w:bookmarkEnd w:id="46"/>
      <w:bookmarkEnd w:id="47"/>
      <w:bookmarkEnd w:id="48"/>
      <w:r>
        <w:rPr>
          <w:rFonts w:hint="eastAsia" w:ascii="楷体" w:hAnsi="楷体" w:eastAsia="楷体" w:cs="楷体"/>
          <w:color w:val="000000" w:themeColor="text1"/>
          <w:sz w:val="32"/>
          <w:szCs w:val="32"/>
          <w14:textFill>
            <w14:solidFill>
              <w14:schemeClr w14:val="tx1"/>
            </w14:solidFill>
          </w14:textFill>
        </w:rPr>
        <w:t>要求</w:t>
      </w:r>
      <w:bookmarkEnd w:id="49"/>
      <w:bookmarkEnd w:id="50"/>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报考者应在报名时提交近期正面免冠二寸彩色数码证件照（jpg格式，规格200K以下）。以下为常见不合格照片：①着制式服装照；②着帽子或太醒目、夸张首饰等；③模糊不清晰的；④眼镜反光的；⑤明显不是个人照片的（如风景照、名人照等）；⑥随意自拍的半身照，全身照等无法看清楚脸的；⑦头发刘海遮挡面大的；⑧照片比例变形的；⑨手持证件的照片；⑩其他难以清晰辨认的。</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报考者因未在时限内提交合格照片造成无法打印准考证的，视为自动放弃考试资格。</w:t>
      </w:r>
      <w:bookmarkStart w:id="51" w:name="_Toc1624"/>
      <w:bookmarkStart w:id="52" w:name="_Toc16906"/>
      <w:bookmarkStart w:id="53" w:name="_Toc21891"/>
    </w:p>
    <w:p>
      <w:pPr>
        <w:pStyle w:val="2"/>
        <w:rPr>
          <w:rFonts w:ascii="楷体" w:hAnsi="楷体" w:eastAsia="楷体" w:cs="楷体"/>
          <w:color w:val="000000" w:themeColor="text1"/>
          <w:sz w:val="32"/>
          <w:szCs w:val="32"/>
          <w14:textFill>
            <w14:solidFill>
              <w14:schemeClr w14:val="tx1"/>
            </w14:solidFill>
          </w14:textFill>
        </w:rPr>
      </w:pPr>
      <w:bookmarkStart w:id="54" w:name="_Toc25424"/>
      <w:bookmarkStart w:id="55" w:name="_Toc308"/>
      <w:bookmarkStart w:id="56" w:name="_Toc25221"/>
      <w:r>
        <w:rPr>
          <w:rFonts w:hint="eastAsia" w:ascii="楷体" w:hAnsi="楷体" w:eastAsia="楷体" w:cs="楷体"/>
          <w:color w:val="000000" w:themeColor="text1"/>
          <w:sz w:val="32"/>
          <w:szCs w:val="32"/>
          <w14:textFill>
            <w14:solidFill>
              <w14:schemeClr w14:val="tx1"/>
            </w14:solidFill>
          </w14:textFill>
        </w:rPr>
        <w:t>（二）回避情形</w:t>
      </w:r>
      <w:bookmarkEnd w:id="51"/>
      <w:bookmarkEnd w:id="52"/>
      <w:bookmarkEnd w:id="53"/>
      <w:bookmarkEnd w:id="54"/>
      <w:bookmarkEnd w:id="55"/>
      <w:bookmarkEnd w:id="56"/>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1.夫妻关系;</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2.直系血亲关系，包括祖父母、外祖父母、父母、子女、孙子女、外孙子女;</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3.三代以内旁系血亲关系，包括叔伯姑舅姨、兄弟姐妹、堂兄弟姐妹、表兄弟姐妹、侄子女、甥子女;</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4.近姻亲关系，包括配偶的父母、配偶的兄弟姐妹及其配偶、子女的配偶及子女配偶的父母、三代以内旁系血亲的配偶;</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5.其他亲属关系，包括养父母子女、形成抚养关系的继父母子女及由此形成的直系血亲、三代以内旁系血亲和近姻亲关系。</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所称直接上下级领导关系包括：</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1.领导班子正职与副职;</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2.同一内设机构正职与副职;</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3.上级正职、副职与下级正职;</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4.单位无内设机构的，其正职、副职与其他管理人员以及从事审计、财务工作的专业技术人员;</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5.内设机构无下一级单位的，其正职、副职与其他管理人员以及从事审计、财务工作的专业技术人员。</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从事招聘工作的人员与应聘人员有上述亲属关系的，须实行履职回避。</w:t>
      </w:r>
    </w:p>
    <w:p>
      <w:pPr>
        <w:pStyle w:val="2"/>
        <w:rPr>
          <w:rFonts w:ascii="楷体" w:hAnsi="楷体" w:eastAsia="楷体" w:cs="楷体"/>
          <w:color w:val="000000" w:themeColor="text1"/>
          <w:sz w:val="32"/>
          <w:szCs w:val="32"/>
          <w14:textFill>
            <w14:solidFill>
              <w14:schemeClr w14:val="tx1"/>
            </w14:solidFill>
          </w14:textFill>
        </w:rPr>
      </w:pPr>
      <w:bookmarkStart w:id="57" w:name="_Toc29283"/>
      <w:bookmarkStart w:id="58" w:name="_Toc459"/>
      <w:bookmarkStart w:id="59" w:name="_Toc29376"/>
      <w:bookmarkStart w:id="60" w:name="_Toc20101"/>
      <w:bookmarkStart w:id="61" w:name="_Toc28052"/>
      <w:bookmarkStart w:id="62" w:name="_Toc6547"/>
      <w:bookmarkStart w:id="63" w:name="_Toc31418"/>
      <w:bookmarkStart w:id="64" w:name="_Toc15353"/>
      <w:r>
        <w:rPr>
          <w:rFonts w:hint="eastAsia" w:ascii="楷体" w:hAnsi="楷体" w:eastAsia="楷体" w:cs="楷体"/>
          <w:color w:val="000000" w:themeColor="text1"/>
          <w:sz w:val="32"/>
          <w:szCs w:val="32"/>
          <w14:textFill>
            <w14:solidFill>
              <w14:schemeClr w14:val="tx1"/>
            </w14:solidFill>
          </w14:textFill>
        </w:rPr>
        <w:t>（三）</w:t>
      </w:r>
      <w:bookmarkStart w:id="65" w:name="_Toc19635_WPSOffice_Level1"/>
      <w:r>
        <w:rPr>
          <w:rFonts w:hint="eastAsia" w:ascii="楷体" w:hAnsi="楷体" w:eastAsia="楷体" w:cs="楷体"/>
          <w:color w:val="000000" w:themeColor="text1"/>
          <w:sz w:val="32"/>
          <w:szCs w:val="32"/>
          <w14:textFill>
            <w14:solidFill>
              <w14:schemeClr w14:val="tx1"/>
            </w14:solidFill>
          </w14:textFill>
        </w:rPr>
        <w:t>岗位开考</w:t>
      </w:r>
      <w:bookmarkEnd w:id="57"/>
      <w:bookmarkEnd w:id="58"/>
      <w:bookmarkEnd w:id="59"/>
      <w:bookmarkEnd w:id="60"/>
      <w:bookmarkEnd w:id="61"/>
      <w:bookmarkEnd w:id="62"/>
      <w:bookmarkEnd w:id="63"/>
      <w:bookmarkEnd w:id="64"/>
      <w:bookmarkEnd w:id="65"/>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通过报名资格初审且</w:t>
      </w:r>
      <w:r>
        <w:rPr>
          <w:rFonts w:hint="eastAsia" w:ascii="??_GB2312" w:eastAsia="Times New Roman"/>
          <w:color w:val="000000" w:themeColor="text1"/>
          <w:sz w:val="32"/>
          <w:szCs w:val="32"/>
          <w14:textFill>
            <w14:solidFill>
              <w14:schemeClr w14:val="tx1"/>
            </w14:solidFill>
          </w14:textFill>
        </w:rPr>
        <w:t>完成考试确认</w:t>
      </w:r>
      <w:r>
        <w:rPr>
          <w:rFonts w:ascii="??_GB2312" w:eastAsia="Times New Roman"/>
          <w:color w:val="000000" w:themeColor="text1"/>
          <w:sz w:val="32"/>
          <w:szCs w:val="32"/>
          <w14:textFill>
            <w14:solidFill>
              <w14:schemeClr w14:val="tx1"/>
            </w14:solidFill>
          </w14:textFill>
        </w:rPr>
        <w:t>的人数与岗位拟聘人数比例达不到3:1的，原则上取消该岗位开考或相应减少招聘人数，情况确实特殊可以申请适当降低比例开考。</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取消开考、减少招聘人数、降低开考比例的岗位，于报名工作结束，由招聘单位</w:t>
      </w:r>
      <w:r>
        <w:rPr>
          <w:rFonts w:hint="eastAsia" w:ascii="??_GB2312" w:eastAsia="Times New Roman"/>
          <w:color w:val="000000" w:themeColor="text1"/>
          <w:sz w:val="32"/>
          <w:szCs w:val="32"/>
          <w:lang w:eastAsia="zh-CN"/>
          <w14:textFill>
            <w14:solidFill>
              <w14:schemeClr w14:val="tx1"/>
            </w14:solidFill>
          </w14:textFill>
        </w:rPr>
        <w:t>提出意见经厦门医学院研究同意</w:t>
      </w:r>
      <w:r>
        <w:rPr>
          <w:rFonts w:ascii="??_GB2312" w:eastAsia="Times New Roman"/>
          <w:color w:val="000000" w:themeColor="text1"/>
          <w:sz w:val="32"/>
          <w:szCs w:val="32"/>
          <w14:textFill>
            <w14:solidFill>
              <w14:schemeClr w14:val="tx1"/>
            </w14:solidFill>
          </w14:textFill>
        </w:rPr>
        <w:t>后，在</w:t>
      </w:r>
      <w:r>
        <w:rPr>
          <w:rFonts w:hint="eastAsia" w:ascii="??_GB2312" w:eastAsia="Times New Roman"/>
          <w:color w:val="000000" w:themeColor="text1"/>
          <w:sz w:val="32"/>
          <w:szCs w:val="32"/>
          <w:lang w:eastAsia="zh-CN"/>
          <w14:textFill>
            <w14:solidFill>
              <w14:schemeClr w14:val="tx1"/>
            </w14:solidFill>
          </w14:textFill>
        </w:rPr>
        <w:t>厦门医学院官网</w:t>
      </w:r>
      <w:r>
        <w:rPr>
          <w:rFonts w:ascii="??_GB2312" w:eastAsia="Times New Roman"/>
          <w:color w:val="000000" w:themeColor="text1"/>
          <w:sz w:val="32"/>
          <w:szCs w:val="32"/>
          <w14:textFill>
            <w14:solidFill>
              <w14:schemeClr w14:val="tx1"/>
            </w14:solidFill>
          </w14:textFill>
        </w:rPr>
        <w:t>统一公告。</w:t>
      </w:r>
    </w:p>
    <w:p>
      <w:pPr>
        <w:pStyle w:val="2"/>
        <w:rPr>
          <w:rFonts w:ascii="黑体" w:hAnsi="黑体" w:eastAsia="黑体" w:cs="黑体"/>
          <w:color w:val="000000" w:themeColor="text1"/>
          <w:sz w:val="32"/>
          <w:szCs w:val="32"/>
          <w14:textFill>
            <w14:solidFill>
              <w14:schemeClr w14:val="tx1"/>
            </w14:solidFill>
          </w14:textFill>
        </w:rPr>
      </w:pPr>
      <w:bookmarkStart w:id="66" w:name="_Toc15831"/>
      <w:bookmarkStart w:id="67" w:name="_Toc13225"/>
      <w:bookmarkStart w:id="68" w:name="_Toc250"/>
      <w:bookmarkStart w:id="69" w:name="_Toc27094"/>
      <w:bookmarkStart w:id="70" w:name="_Toc14901"/>
      <w:bookmarkStart w:id="71" w:name="_Toc1152"/>
      <w:bookmarkStart w:id="72" w:name="_Toc1344"/>
      <w:bookmarkStart w:id="73" w:name="_Toc26598"/>
      <w:r>
        <w:rPr>
          <w:rFonts w:hint="eastAsia" w:ascii="黑体" w:hAnsi="黑体" w:eastAsia="黑体" w:cs="黑体"/>
          <w:color w:val="000000" w:themeColor="text1"/>
          <w:sz w:val="32"/>
          <w:szCs w:val="32"/>
          <w14:textFill>
            <w14:solidFill>
              <w14:schemeClr w14:val="tx1"/>
            </w14:solidFill>
          </w14:textFill>
        </w:rPr>
        <w:t>四、资格复核</w:t>
      </w:r>
      <w:bookmarkEnd w:id="66"/>
      <w:bookmarkEnd w:id="67"/>
      <w:bookmarkEnd w:id="68"/>
      <w:bookmarkEnd w:id="69"/>
      <w:bookmarkEnd w:id="70"/>
      <w:bookmarkEnd w:id="71"/>
      <w:bookmarkEnd w:id="72"/>
      <w:bookmarkEnd w:id="73"/>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资格复核由</w:t>
      </w:r>
      <w:r>
        <w:rPr>
          <w:rFonts w:hint="eastAsia" w:ascii="??_GB2312" w:eastAsia="Times New Roman"/>
          <w:color w:val="000000" w:themeColor="text1"/>
          <w:sz w:val="32"/>
          <w:szCs w:val="32"/>
          <w:lang w:eastAsia="zh-CN"/>
          <w14:textFill>
            <w14:solidFill>
              <w14:schemeClr w14:val="tx1"/>
            </w14:solidFill>
          </w14:textFill>
        </w:rPr>
        <w:t>招聘单位</w:t>
      </w:r>
      <w:r>
        <w:rPr>
          <w:rFonts w:ascii="??_GB2312" w:eastAsia="Times New Roman"/>
          <w:color w:val="000000" w:themeColor="text1"/>
          <w:sz w:val="32"/>
          <w:szCs w:val="32"/>
          <w14:textFill>
            <w14:solidFill>
              <w14:schemeClr w14:val="tx1"/>
            </w14:solidFill>
          </w14:textFill>
        </w:rPr>
        <w:t>负责组织。资格复核时，考生应提供以下资料的原件及复印件，复印件</w:t>
      </w:r>
      <w:r>
        <w:rPr>
          <w:rFonts w:hint="eastAsia" w:ascii="??_GB2312" w:eastAsia="Times New Roman"/>
          <w:color w:val="000000" w:themeColor="text1"/>
          <w:sz w:val="32"/>
          <w:szCs w:val="32"/>
          <w14:textFill>
            <w14:solidFill>
              <w14:schemeClr w14:val="tx1"/>
            </w14:solidFill>
          </w14:textFill>
        </w:rPr>
        <w:t>需</w:t>
      </w:r>
      <w:r>
        <w:rPr>
          <w:rFonts w:ascii="??_GB2312" w:eastAsia="Times New Roman"/>
          <w:color w:val="000000" w:themeColor="text1"/>
          <w:sz w:val="32"/>
          <w:szCs w:val="32"/>
          <w14:textFill>
            <w14:solidFill>
              <w14:schemeClr w14:val="tx1"/>
            </w14:solidFill>
          </w14:textFill>
        </w:rPr>
        <w:t>依序装订成册（一式2份）：</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报名表、准考证（或免笔试通知书）、本人有效身份证、个人简历、学历（位）证以及岗位资格条件要求的其他材料。其中：</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1.按岗位资格条件以应届</w:t>
      </w:r>
      <w:r>
        <w:rPr>
          <w:rFonts w:hint="eastAsia" w:ascii="??_GB2312" w:eastAsia="Times New Roman"/>
          <w:color w:val="000000" w:themeColor="text1"/>
          <w:sz w:val="32"/>
          <w:szCs w:val="32"/>
          <w14:textFill>
            <w14:solidFill>
              <w14:schemeClr w14:val="tx1"/>
            </w14:solidFill>
          </w14:textFill>
        </w:rPr>
        <w:t>高校</w:t>
      </w:r>
      <w:r>
        <w:rPr>
          <w:rFonts w:ascii="??_GB2312" w:eastAsia="Times New Roman"/>
          <w:color w:val="000000" w:themeColor="text1"/>
          <w:sz w:val="32"/>
          <w:szCs w:val="32"/>
          <w14:textFill>
            <w14:solidFill>
              <w14:schemeClr w14:val="tx1"/>
            </w14:solidFill>
          </w14:textFill>
        </w:rPr>
        <w:t>毕业生身份</w:t>
      </w:r>
      <w:r>
        <w:rPr>
          <w:rFonts w:hint="eastAsia" w:ascii="??_GB2312" w:eastAsia="Times New Roman"/>
          <w:color w:val="000000" w:themeColor="text1"/>
          <w:sz w:val="32"/>
          <w:szCs w:val="32"/>
          <w14:textFill>
            <w14:solidFill>
              <w14:schemeClr w14:val="tx1"/>
            </w14:solidFill>
          </w14:textFill>
        </w:rPr>
        <w:t>（不含</w:t>
      </w:r>
      <w:r>
        <w:rPr>
          <w:rFonts w:ascii="??_GB2312" w:eastAsia="Times New Roman"/>
          <w:color w:val="000000" w:themeColor="text1"/>
          <w:sz w:val="32"/>
          <w:szCs w:val="32"/>
          <w14:textFill>
            <w14:solidFill>
              <w14:schemeClr w14:val="tx1"/>
            </w14:solidFill>
          </w14:textFill>
        </w:rPr>
        <w:t>2021</w:t>
      </w:r>
      <w:r>
        <w:rPr>
          <w:rFonts w:hint="eastAsia" w:ascii="??_GB2312" w:eastAsia="Times New Roman"/>
          <w:color w:val="000000" w:themeColor="text1"/>
          <w:sz w:val="32"/>
          <w:szCs w:val="32"/>
          <w14:textFill>
            <w14:solidFill>
              <w14:schemeClr w14:val="tx1"/>
            </w14:solidFill>
          </w14:textFill>
        </w:rPr>
        <w:t>届毕业生，具体界定详见本指南第十四章第四款）</w:t>
      </w:r>
      <w:r>
        <w:rPr>
          <w:rFonts w:ascii="??_GB2312" w:eastAsia="Times New Roman"/>
          <w:color w:val="000000" w:themeColor="text1"/>
          <w:sz w:val="32"/>
          <w:szCs w:val="32"/>
          <w14:textFill>
            <w14:solidFill>
              <w14:schemeClr w14:val="tx1"/>
            </w14:solidFill>
          </w14:textFill>
        </w:rPr>
        <w:t>报考的，还须提供原毕业学校或各级毕业生就业主管部门(毕业生就业指导服务中心)或各级人才交流服务机构或各级公共就业服务机构出具的证明材料。</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2.福建省内机关、事业单位、公立医疗卫生机构工作人员（含军队的医疗机构</w:t>
      </w:r>
      <w:r>
        <w:rPr>
          <w:rFonts w:hint="eastAsia" w:ascii="??_GB2312" w:eastAsia="Times New Roman"/>
          <w:color w:val="000000" w:themeColor="text1"/>
          <w:sz w:val="32"/>
          <w:szCs w:val="32"/>
          <w14:textFill>
            <w14:solidFill>
              <w14:schemeClr w14:val="tx1"/>
            </w14:solidFill>
          </w14:textFill>
        </w:rPr>
        <w:t>人员，不含辅助、派遣性质人员</w:t>
      </w:r>
      <w:r>
        <w:rPr>
          <w:rFonts w:ascii="??_GB2312" w:eastAsia="Times New Roman"/>
          <w:color w:val="000000" w:themeColor="text1"/>
          <w:sz w:val="32"/>
          <w:szCs w:val="32"/>
          <w14:textFill>
            <w14:solidFill>
              <w14:schemeClr w14:val="tx1"/>
            </w14:solidFill>
          </w14:textFill>
        </w:rPr>
        <w:t>）需征得所在单位同意方可报名，并需在资格复核时提供所在单位人事主管部门出具的同意报考书面证明（或已与单位解除劳动、聘用合同关系证明）；若暂时无法提供的，经招聘单位同意后可延至体检前提交，如体检前仍无法提交的，视为自动放弃体检资格。</w:t>
      </w:r>
    </w:p>
    <w:p>
      <w:pPr>
        <w:pStyle w:val="2"/>
        <w:rPr>
          <w:rFonts w:ascii="黑体" w:hAnsi="黑体" w:eastAsia="黑体" w:cs="黑体"/>
          <w:color w:val="000000" w:themeColor="text1"/>
          <w:sz w:val="32"/>
          <w:szCs w:val="32"/>
          <w14:textFill>
            <w14:solidFill>
              <w14:schemeClr w14:val="tx1"/>
            </w14:solidFill>
          </w14:textFill>
        </w:rPr>
      </w:pPr>
      <w:bookmarkStart w:id="74" w:name="_Toc18301"/>
      <w:bookmarkStart w:id="75" w:name="_Toc26712"/>
      <w:bookmarkStart w:id="76" w:name="_Toc16408"/>
      <w:bookmarkStart w:id="77" w:name="_Toc15383"/>
      <w:bookmarkStart w:id="78" w:name="_Toc30212"/>
      <w:bookmarkStart w:id="79" w:name="_Toc16925"/>
      <w:bookmarkStart w:id="80" w:name="_Toc12038"/>
      <w:bookmarkStart w:id="81" w:name="_Toc2030"/>
      <w:r>
        <w:rPr>
          <w:rFonts w:hint="eastAsia" w:ascii="黑体" w:hAnsi="黑体" w:eastAsia="黑体" w:cs="黑体"/>
          <w:color w:val="000000" w:themeColor="text1"/>
          <w:sz w:val="32"/>
          <w:szCs w:val="32"/>
          <w14:textFill>
            <w14:solidFill>
              <w14:schemeClr w14:val="tx1"/>
            </w14:solidFill>
          </w14:textFill>
        </w:rPr>
        <w:t>五、年龄、资格（历）等的计算办法</w:t>
      </w:r>
      <w:bookmarkEnd w:id="74"/>
      <w:bookmarkEnd w:id="75"/>
      <w:bookmarkEnd w:id="76"/>
      <w:bookmarkEnd w:id="77"/>
      <w:bookmarkEnd w:id="78"/>
      <w:bookmarkEnd w:id="79"/>
      <w:bookmarkEnd w:id="80"/>
      <w:bookmarkEnd w:id="81"/>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如无特别说明，相关年限的计算、证书取得时间等，均指计算截至报名截止当月。</w:t>
      </w:r>
    </w:p>
    <w:p>
      <w:pPr>
        <w:pStyle w:val="2"/>
        <w:rPr>
          <w:rFonts w:ascii="楷体" w:hAnsi="楷体" w:eastAsia="楷体" w:cs="楷体"/>
          <w:color w:val="000000" w:themeColor="text1"/>
          <w:sz w:val="32"/>
          <w:szCs w:val="32"/>
          <w14:textFill>
            <w14:solidFill>
              <w14:schemeClr w14:val="tx1"/>
            </w14:solidFill>
          </w14:textFill>
        </w:rPr>
      </w:pPr>
      <w:bookmarkStart w:id="82" w:name="_Toc25286"/>
      <w:bookmarkStart w:id="83" w:name="_Toc5726"/>
      <w:r>
        <w:rPr>
          <w:rFonts w:hint="eastAsia" w:ascii="楷体" w:hAnsi="楷体" w:eastAsia="楷体" w:cs="楷体"/>
          <w:color w:val="000000" w:themeColor="text1"/>
          <w:sz w:val="32"/>
          <w:szCs w:val="32"/>
          <w14:textFill>
            <w14:solidFill>
              <w14:schemeClr w14:val="tx1"/>
            </w14:solidFill>
          </w14:textFill>
        </w:rPr>
        <w:t>（一）年龄</w:t>
      </w:r>
      <w:bookmarkEnd w:id="82"/>
      <w:bookmarkEnd w:id="83"/>
    </w:p>
    <w:p>
      <w:pPr>
        <w:ind w:firstLine="640" w:firstLineChars="200"/>
        <w:rPr>
          <w:rFonts w:ascii="??_GB2312" w:eastAsia="Times New Roman"/>
          <w:color w:val="000000" w:themeColor="text1"/>
          <w:sz w:val="32"/>
          <w:szCs w:val="32"/>
          <w14:textFill>
            <w14:solidFill>
              <w14:schemeClr w14:val="tx1"/>
            </w14:solidFill>
          </w14:textFill>
        </w:rPr>
      </w:pPr>
      <w:bookmarkStart w:id="84" w:name="_Toc27137"/>
      <w:r>
        <w:rPr>
          <w:rFonts w:ascii="??_GB2312" w:eastAsia="Times New Roman"/>
          <w:color w:val="000000" w:themeColor="text1"/>
          <w:sz w:val="32"/>
          <w:szCs w:val="32"/>
          <w14:textFill>
            <w14:solidFill>
              <w14:schemeClr w14:val="tx1"/>
            </w14:solidFill>
          </w14:textFill>
        </w:rPr>
        <w:t>岗位资格条件要求的最高年龄35周岁是指18周岁以上、35周岁以下</w:t>
      </w:r>
      <w:r>
        <w:rPr>
          <w:rFonts w:ascii="??_GB2312" w:eastAsia="Times New Roman"/>
          <w:color w:val="000000" w:themeColor="text1"/>
          <w:sz w:val="32"/>
          <w:szCs w:val="32"/>
          <w14:textFill>
            <w14:solidFill>
              <w14:schemeClr w14:val="tx1"/>
            </w14:solidFill>
          </w14:textFill>
        </w:rPr>
        <w:t>（即在1985年</w:t>
      </w:r>
      <w:r>
        <w:rPr>
          <w:rFonts w:hint="default" w:ascii="??_GB2312" w:eastAsia="Times New Roman"/>
          <w:color w:val="000000" w:themeColor="text1"/>
          <w:sz w:val="32"/>
          <w:szCs w:val="32"/>
          <w:lang w:val="en-US" w:eastAsia="zh-CN"/>
          <w14:textFill>
            <w14:solidFill>
              <w14:schemeClr w14:val="tx1"/>
            </w14:solidFill>
          </w14:textFill>
        </w:rPr>
        <w:t>12</w:t>
      </w:r>
      <w:r>
        <w:rPr>
          <w:rFonts w:ascii="??_GB2312" w:eastAsia="Times New Roman"/>
          <w:color w:val="000000" w:themeColor="text1"/>
          <w:sz w:val="32"/>
          <w:szCs w:val="32"/>
          <w14:textFill>
            <w14:solidFill>
              <w14:schemeClr w14:val="tx1"/>
            </w14:solidFill>
          </w14:textFill>
        </w:rPr>
        <w:t>月至2003年</w:t>
      </w:r>
      <w:r>
        <w:rPr>
          <w:rFonts w:hint="default" w:ascii="??_GB2312" w:eastAsia="Times New Roman"/>
          <w:color w:val="000000" w:themeColor="text1"/>
          <w:sz w:val="32"/>
          <w:szCs w:val="32"/>
          <w:lang w:val="en-US" w:eastAsia="zh-CN"/>
          <w14:textFill>
            <w14:solidFill>
              <w14:schemeClr w14:val="tx1"/>
            </w14:solidFill>
          </w14:textFill>
        </w:rPr>
        <w:t>12</w:t>
      </w:r>
      <w:r>
        <w:rPr>
          <w:rFonts w:ascii="??_GB2312" w:eastAsia="Times New Roman"/>
          <w:color w:val="000000" w:themeColor="text1"/>
          <w:sz w:val="32"/>
          <w:szCs w:val="32"/>
          <w14:textFill>
            <w14:solidFill>
              <w14:schemeClr w14:val="tx1"/>
            </w14:solidFill>
          </w14:textFill>
        </w:rPr>
        <w:t>月间出生人员），</w:t>
      </w:r>
      <w:r>
        <w:rPr>
          <w:rFonts w:ascii="??_GB2312" w:eastAsia="Times New Roman"/>
          <w:color w:val="000000" w:themeColor="text1"/>
          <w:sz w:val="32"/>
          <w:szCs w:val="32"/>
          <w14:textFill>
            <w14:solidFill>
              <w14:schemeClr w14:val="tx1"/>
            </w14:solidFill>
          </w14:textFill>
        </w:rPr>
        <w:t>其他最高年龄要求的计算方法以此类推。</w:t>
      </w:r>
    </w:p>
    <w:p>
      <w:pPr>
        <w:pStyle w:val="2"/>
        <w:rPr>
          <w:rFonts w:ascii="楷体" w:hAnsi="楷体" w:eastAsia="楷体" w:cs="楷体"/>
          <w:color w:val="000000" w:themeColor="text1"/>
          <w:sz w:val="32"/>
          <w:szCs w:val="32"/>
          <w14:textFill>
            <w14:solidFill>
              <w14:schemeClr w14:val="tx1"/>
            </w14:solidFill>
          </w14:textFill>
        </w:rPr>
      </w:pPr>
      <w:bookmarkStart w:id="85" w:name="_Toc20905"/>
      <w:r>
        <w:rPr>
          <w:rFonts w:hint="eastAsia" w:ascii="楷体" w:hAnsi="楷体" w:eastAsia="楷体" w:cs="楷体"/>
          <w:color w:val="000000" w:themeColor="text1"/>
          <w:sz w:val="32"/>
          <w:szCs w:val="32"/>
          <w14:textFill>
            <w14:solidFill>
              <w14:schemeClr w14:val="tx1"/>
            </w14:solidFill>
          </w14:textFill>
        </w:rPr>
        <w:t>（二）资格（历）等</w:t>
      </w:r>
      <w:bookmarkEnd w:id="84"/>
      <w:bookmarkEnd w:id="85"/>
    </w:p>
    <w:p>
      <w:pPr>
        <w:ind w:firstLine="640" w:firstLineChars="200"/>
        <w:rPr>
          <w:rFonts w:ascii="??_GB2312" w:eastAsia="Times New Roman"/>
          <w:color w:val="000000" w:themeColor="text1"/>
          <w:sz w:val="32"/>
          <w:szCs w:val="32"/>
          <w14:textFill>
            <w14:solidFill>
              <w14:schemeClr w14:val="tx1"/>
            </w14:solidFill>
          </w14:textFill>
        </w:rPr>
      </w:pPr>
      <w:bookmarkStart w:id="86" w:name="_Toc3023"/>
      <w:bookmarkStart w:id="87" w:name="_Toc14196"/>
      <w:bookmarkStart w:id="88" w:name="_Toc30031"/>
      <w:bookmarkStart w:id="89" w:name="_Toc3272"/>
      <w:bookmarkStart w:id="90" w:name="_Toc21060"/>
      <w:bookmarkStart w:id="91" w:name="_Toc8761"/>
      <w:bookmarkStart w:id="92" w:name="_Toc20934"/>
      <w:r>
        <w:rPr>
          <w:rFonts w:ascii="??_GB2312" w:eastAsia="Times New Roman"/>
          <w:color w:val="000000" w:themeColor="text1"/>
          <w:sz w:val="32"/>
          <w:szCs w:val="32"/>
          <w14:textFill>
            <w14:solidFill>
              <w14:schemeClr w14:val="tx1"/>
            </w14:solidFill>
          </w14:textFill>
        </w:rPr>
        <w:t>岗位要求具有“XX条件以上”的，如无特别说明，是指具有XX条件或XX条件以上所有条件中任何一个即可。如：具有2年以上工作经验指具有2年或2年以上工作经验；取得初级以上专业技术职务任职资格指取得初级、中级或高级专业技术职务任职资格中的任何一项或其中两项或三项均可。</w:t>
      </w:r>
    </w:p>
    <w:p>
      <w:pPr>
        <w:pStyle w:val="2"/>
        <w:rPr>
          <w:rFonts w:ascii="黑体" w:hAnsi="黑体" w:eastAsia="黑体" w:cs="黑体"/>
          <w:color w:val="000000" w:themeColor="text1"/>
          <w:sz w:val="32"/>
          <w:szCs w:val="32"/>
          <w14:textFill>
            <w14:solidFill>
              <w14:schemeClr w14:val="tx1"/>
            </w14:solidFill>
          </w14:textFill>
        </w:rPr>
      </w:pPr>
      <w:bookmarkStart w:id="93" w:name="_Toc5478"/>
      <w:bookmarkStart w:id="94" w:name="_六、学历（位）认定"/>
      <w:r>
        <w:rPr>
          <w:rFonts w:hint="eastAsia" w:ascii="黑体" w:hAnsi="黑体" w:eastAsia="黑体" w:cs="黑体"/>
          <w:color w:val="000000" w:themeColor="text1"/>
          <w:sz w:val="32"/>
          <w:szCs w:val="32"/>
          <w14:textFill>
            <w14:solidFill>
              <w14:schemeClr w14:val="tx1"/>
            </w14:solidFill>
          </w14:textFill>
        </w:rPr>
        <w:t>六、学历（位）认定</w:t>
      </w:r>
      <w:bookmarkEnd w:id="86"/>
      <w:bookmarkEnd w:id="87"/>
      <w:bookmarkEnd w:id="88"/>
      <w:bookmarkEnd w:id="89"/>
      <w:bookmarkEnd w:id="90"/>
      <w:bookmarkEnd w:id="91"/>
      <w:bookmarkEnd w:id="92"/>
      <w:bookmarkEnd w:id="93"/>
    </w:p>
    <w:bookmarkEnd w:id="94"/>
    <w:p>
      <w:pPr>
        <w:ind w:firstLine="640" w:firstLineChars="200"/>
        <w:rPr>
          <w:rFonts w:ascii="??_GB2312" w:eastAsia="Times New Roman"/>
          <w:color w:val="000000" w:themeColor="text1"/>
          <w:sz w:val="32"/>
          <w:szCs w:val="32"/>
          <w14:textFill>
            <w14:solidFill>
              <w14:schemeClr w14:val="tx1"/>
            </w14:solidFill>
          </w14:textFill>
        </w:rPr>
      </w:pPr>
      <w:bookmarkStart w:id="95" w:name="_Toc1390"/>
      <w:bookmarkStart w:id="96" w:name="_Toc15609"/>
      <w:bookmarkStart w:id="97" w:name="_Toc15768"/>
      <w:bookmarkStart w:id="98" w:name="_Toc26083"/>
      <w:bookmarkStart w:id="99" w:name="_Toc21436"/>
      <w:bookmarkStart w:id="100" w:name="_Toc18537"/>
      <w:bookmarkStart w:id="101" w:name="_Toc31141"/>
      <w:r>
        <w:rPr>
          <w:rFonts w:ascii="??_GB2312" w:eastAsia="Times New Roman"/>
          <w:color w:val="000000" w:themeColor="text1"/>
          <w:sz w:val="32"/>
          <w:szCs w:val="32"/>
          <w14:textFill>
            <w14:solidFill>
              <w14:schemeClr w14:val="tx1"/>
            </w14:solidFill>
          </w14:textFill>
        </w:rPr>
        <w:t>岗位资格条件要求的学历(位)须是国家承认的国民教育毕业学历(位)。</w:t>
      </w:r>
    </w:p>
    <w:p>
      <w:pPr>
        <w:pStyle w:val="2"/>
        <w:rPr>
          <w:rFonts w:ascii="楷体" w:hAnsi="楷体" w:eastAsia="楷体" w:cs="楷体"/>
          <w:color w:val="000000" w:themeColor="text1"/>
          <w:sz w:val="32"/>
          <w:szCs w:val="32"/>
          <w14:textFill>
            <w14:solidFill>
              <w14:schemeClr w14:val="tx1"/>
            </w14:solidFill>
          </w14:textFill>
        </w:rPr>
      </w:pPr>
      <w:bookmarkStart w:id="102" w:name="_Toc11526"/>
      <w:bookmarkStart w:id="103" w:name="_（一）境内学历（位）"/>
      <w:r>
        <w:rPr>
          <w:rFonts w:hint="eastAsia" w:ascii="楷体" w:hAnsi="楷体" w:eastAsia="楷体" w:cs="楷体"/>
          <w:color w:val="000000" w:themeColor="text1"/>
          <w:sz w:val="32"/>
          <w:szCs w:val="32"/>
          <w14:textFill>
            <w14:solidFill>
              <w14:schemeClr w14:val="tx1"/>
            </w14:solidFill>
          </w14:textFill>
        </w:rPr>
        <w:t>（一）境内学历（位）</w:t>
      </w:r>
      <w:bookmarkEnd w:id="95"/>
      <w:bookmarkEnd w:id="96"/>
      <w:bookmarkEnd w:id="97"/>
      <w:bookmarkEnd w:id="98"/>
      <w:bookmarkEnd w:id="99"/>
      <w:bookmarkEnd w:id="100"/>
      <w:bookmarkEnd w:id="101"/>
      <w:bookmarkEnd w:id="102"/>
    </w:p>
    <w:bookmarkEnd w:id="103"/>
    <w:p>
      <w:pPr>
        <w:ind w:firstLine="640" w:firstLineChars="200"/>
        <w:rPr>
          <w:rFonts w:ascii="??_GB2312" w:eastAsia="Times New Roman"/>
          <w:color w:val="000000" w:themeColor="text1"/>
          <w:sz w:val="32"/>
          <w:szCs w:val="32"/>
          <w14:textFill>
            <w14:solidFill>
              <w14:schemeClr w14:val="tx1"/>
            </w14:solidFill>
          </w14:textFill>
        </w:rPr>
      </w:pPr>
      <w:bookmarkStart w:id="104" w:name="_Toc12445"/>
      <w:bookmarkStart w:id="105" w:name="_Toc12784"/>
      <w:bookmarkStart w:id="106" w:name="_Toc20018"/>
      <w:bookmarkStart w:id="107" w:name="_Toc23500"/>
      <w:bookmarkStart w:id="108" w:name="_Toc6283"/>
      <w:bookmarkStart w:id="109" w:name="_Toc28427"/>
      <w:bookmarkStart w:id="110" w:name="_Toc25204"/>
      <w:r>
        <w:rPr>
          <w:rFonts w:ascii="??_GB2312" w:eastAsia="Times New Roman"/>
          <w:color w:val="000000" w:themeColor="text1"/>
          <w:sz w:val="32"/>
          <w:szCs w:val="32"/>
          <w14:textFill>
            <w14:solidFill>
              <w14:schemeClr w14:val="tx1"/>
            </w14:solidFill>
          </w14:textFill>
        </w:rPr>
        <w:t>用于报考的学历（含自学考试、成人教育、网络教育、夜大、电大等）应在中国高等教育学生信息网(简称学信网，</w:t>
      </w:r>
      <w:r>
        <w:rPr>
          <w:rFonts w:ascii="??_GB2312" w:eastAsia="Times New Roman"/>
          <w:color w:val="000000" w:themeColor="text1"/>
          <w:sz w:val="32"/>
          <w:szCs w:val="32"/>
          <w14:textFill>
            <w14:solidFill>
              <w14:schemeClr w14:val="tx1"/>
            </w14:solidFill>
          </w14:textFill>
        </w:rPr>
        <w:fldChar w:fldCharType="begin"/>
      </w:r>
      <w:r>
        <w:rPr>
          <w:rFonts w:ascii="??_GB2312" w:eastAsia="Times New Roman"/>
          <w:color w:val="000000" w:themeColor="text1"/>
          <w:sz w:val="32"/>
          <w:szCs w:val="32"/>
          <w14:textFill>
            <w14:solidFill>
              <w14:schemeClr w14:val="tx1"/>
            </w14:solidFill>
          </w14:textFill>
        </w:rPr>
        <w:instrText xml:space="preserve"> HYPERLINK "http://www.chsi.com.cn/" \h </w:instrText>
      </w:r>
      <w:r>
        <w:rPr>
          <w:rFonts w:ascii="??_GB2312" w:eastAsia="Times New Roman"/>
          <w:color w:val="000000" w:themeColor="text1"/>
          <w:sz w:val="32"/>
          <w:szCs w:val="32"/>
          <w14:textFill>
            <w14:solidFill>
              <w14:schemeClr w14:val="tx1"/>
            </w14:solidFill>
          </w14:textFill>
        </w:rPr>
        <w:fldChar w:fldCharType="separate"/>
      </w:r>
      <w:r>
        <w:rPr>
          <w:rFonts w:ascii="??_GB2312" w:eastAsia="Times New Roman"/>
          <w:color w:val="000000" w:themeColor="text1"/>
          <w:sz w:val="32"/>
          <w:szCs w:val="32"/>
          <w14:textFill>
            <w14:solidFill>
              <w14:schemeClr w14:val="tx1"/>
            </w14:solidFill>
          </w14:textFill>
        </w:rPr>
        <w:t>http://www.chsi.com.cn/</w:t>
      </w:r>
      <w:r>
        <w:rPr>
          <w:rFonts w:ascii="??_GB2312" w:eastAsia="Times New Roman"/>
          <w:color w:val="000000" w:themeColor="text1"/>
          <w:sz w:val="32"/>
          <w:szCs w:val="32"/>
          <w14:textFill>
            <w14:solidFill>
              <w14:schemeClr w14:val="tx1"/>
            </w14:solidFill>
          </w14:textFill>
        </w:rPr>
        <w:fldChar w:fldCharType="end"/>
      </w:r>
      <w:r>
        <w:rPr>
          <w:rFonts w:ascii="??_GB2312" w:eastAsia="Times New Roman"/>
          <w:color w:val="000000" w:themeColor="text1"/>
          <w:sz w:val="32"/>
          <w:szCs w:val="32"/>
          <w14:textFill>
            <w14:solidFill>
              <w14:schemeClr w14:val="tx1"/>
            </w14:solidFill>
          </w14:textFill>
        </w:rPr>
        <w:t>，下同) 上可查询认证，用于报考的学位应在中国学位与研究生教育信息网(简称学位网，</w:t>
      </w:r>
      <w:r>
        <w:rPr>
          <w:rFonts w:ascii="??_GB2312" w:eastAsia="Times New Roman"/>
          <w:color w:val="000000" w:themeColor="text1"/>
          <w:sz w:val="32"/>
          <w:szCs w:val="32"/>
          <w14:textFill>
            <w14:solidFill>
              <w14:schemeClr w14:val="tx1"/>
            </w14:solidFill>
          </w14:textFill>
        </w:rPr>
        <w:fldChar w:fldCharType="begin"/>
      </w:r>
      <w:r>
        <w:rPr>
          <w:rFonts w:ascii="??_GB2312" w:eastAsia="Times New Roman"/>
          <w:color w:val="000000" w:themeColor="text1"/>
          <w:sz w:val="32"/>
          <w:szCs w:val="32"/>
          <w14:textFill>
            <w14:solidFill>
              <w14:schemeClr w14:val="tx1"/>
            </w14:solidFill>
          </w14:textFill>
        </w:rPr>
        <w:instrText xml:space="preserve"> HYPERLINK "http://www.cdgdc.edu.cn/" \h </w:instrText>
      </w:r>
      <w:r>
        <w:rPr>
          <w:rFonts w:ascii="??_GB2312" w:eastAsia="Times New Roman"/>
          <w:color w:val="000000" w:themeColor="text1"/>
          <w:sz w:val="32"/>
          <w:szCs w:val="32"/>
          <w14:textFill>
            <w14:solidFill>
              <w14:schemeClr w14:val="tx1"/>
            </w14:solidFill>
          </w14:textFill>
        </w:rPr>
        <w:fldChar w:fldCharType="separate"/>
      </w:r>
      <w:r>
        <w:rPr>
          <w:rFonts w:ascii="??_GB2312" w:eastAsia="Times New Roman"/>
          <w:color w:val="000000" w:themeColor="text1"/>
          <w:sz w:val="32"/>
          <w:szCs w:val="32"/>
          <w14:textFill>
            <w14:solidFill>
              <w14:schemeClr w14:val="tx1"/>
            </w14:solidFill>
          </w14:textFill>
        </w:rPr>
        <w:t>http://www.cdgdc.edu.cn/</w:t>
      </w:r>
      <w:r>
        <w:rPr>
          <w:rFonts w:ascii="??_GB2312" w:eastAsia="Times New Roman"/>
          <w:color w:val="000000" w:themeColor="text1"/>
          <w:sz w:val="32"/>
          <w:szCs w:val="32"/>
          <w14:textFill>
            <w14:solidFill>
              <w14:schemeClr w14:val="tx1"/>
            </w14:solidFill>
          </w14:textFill>
        </w:rPr>
        <w:fldChar w:fldCharType="end"/>
      </w:r>
      <w:r>
        <w:rPr>
          <w:rFonts w:ascii="??_GB2312" w:eastAsia="Times New Roman"/>
          <w:color w:val="000000" w:themeColor="text1"/>
          <w:sz w:val="32"/>
          <w:szCs w:val="32"/>
          <w14:textFill>
            <w14:solidFill>
              <w14:schemeClr w14:val="tx1"/>
            </w14:solidFill>
          </w14:textFill>
        </w:rPr>
        <w:t>，下同)上可查询认证。</w:t>
      </w:r>
    </w:p>
    <w:p>
      <w:pPr>
        <w:pStyle w:val="2"/>
        <w:rPr>
          <w:rFonts w:ascii="楷体" w:hAnsi="楷体" w:eastAsia="楷体" w:cs="楷体"/>
          <w:color w:val="000000" w:themeColor="text1"/>
          <w:sz w:val="32"/>
          <w:szCs w:val="32"/>
          <w14:textFill>
            <w14:solidFill>
              <w14:schemeClr w14:val="tx1"/>
            </w14:solidFill>
          </w14:textFill>
        </w:rPr>
      </w:pPr>
      <w:bookmarkStart w:id="111" w:name="_Toc23481"/>
      <w:bookmarkStart w:id="112" w:name="_Toc19890"/>
      <w:bookmarkStart w:id="113" w:name="_Toc21019"/>
      <w:bookmarkStart w:id="114" w:name="_Toc25344"/>
      <w:bookmarkStart w:id="115" w:name="_Toc16410"/>
      <w:bookmarkStart w:id="116" w:name="_Toc26637"/>
      <w:bookmarkStart w:id="117" w:name="_Toc19903"/>
      <w:bookmarkStart w:id="118" w:name="_Toc2494"/>
      <w:bookmarkStart w:id="119" w:name="_Toc12941"/>
      <w:r>
        <w:rPr>
          <w:rFonts w:hint="eastAsia" w:ascii="楷体" w:hAnsi="楷体" w:eastAsia="楷体" w:cs="楷体"/>
          <w:color w:val="000000" w:themeColor="text1"/>
          <w:sz w:val="32"/>
          <w:szCs w:val="32"/>
          <w14:textFill>
            <w14:solidFill>
              <w14:schemeClr w14:val="tx1"/>
            </w14:solidFill>
          </w14:textFill>
        </w:rPr>
        <w:t>（二）境外学历（位）</w:t>
      </w:r>
      <w:bookmarkEnd w:id="111"/>
      <w:bookmarkEnd w:id="112"/>
      <w:bookmarkEnd w:id="113"/>
      <w:bookmarkEnd w:id="114"/>
      <w:bookmarkEnd w:id="115"/>
      <w:bookmarkEnd w:id="116"/>
      <w:bookmarkEnd w:id="117"/>
      <w:bookmarkEnd w:id="118"/>
      <w:bookmarkEnd w:id="119"/>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持境外学历（位）报考的，应提供教育部留学服务中心出具的《国外学历学位认证书》或《香港、澳门特别行政区学历学位认证书》</w:t>
      </w:r>
      <w:r>
        <w:rPr>
          <w:rFonts w:hint="eastAsia" w:ascii="??_GB2312" w:eastAsia="Times New Roman"/>
          <w:color w:val="000000" w:themeColor="text1"/>
          <w:sz w:val="32"/>
          <w:szCs w:val="32"/>
          <w14:textFill>
            <w14:solidFill>
              <w14:schemeClr w14:val="tx1"/>
            </w14:solidFill>
          </w14:textFill>
        </w:rPr>
        <w:t>或</w:t>
      </w:r>
      <w:r>
        <w:rPr>
          <w:rFonts w:ascii="??_GB2312" w:eastAsia="Times New Roman"/>
          <w:color w:val="000000" w:themeColor="text1"/>
          <w:sz w:val="32"/>
          <w:szCs w:val="32"/>
          <w14:textFill>
            <w14:solidFill>
              <w14:schemeClr w14:val="tx1"/>
            </w14:solidFill>
          </w14:textFill>
        </w:rPr>
        <w:t>我国驻外使领馆</w:t>
      </w:r>
      <w:r>
        <w:rPr>
          <w:rFonts w:hint="eastAsia" w:ascii="??_GB2312" w:eastAsia="Times New Roman"/>
          <w:color w:val="000000" w:themeColor="text1"/>
          <w:sz w:val="32"/>
          <w:szCs w:val="32"/>
          <w14:textFill>
            <w14:solidFill>
              <w14:schemeClr w14:val="tx1"/>
            </w14:solidFill>
          </w14:textFill>
        </w:rPr>
        <w:t>出具</w:t>
      </w:r>
      <w:r>
        <w:rPr>
          <w:rFonts w:ascii="??_GB2312" w:eastAsia="Times New Roman"/>
          <w:color w:val="000000" w:themeColor="text1"/>
          <w:sz w:val="32"/>
          <w:szCs w:val="32"/>
          <w14:textFill>
            <w14:solidFill>
              <w14:schemeClr w14:val="tx1"/>
            </w14:solidFill>
          </w14:textFill>
        </w:rPr>
        <w:t>的有关证明材料。</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属于国内院校与国外院校联合办学取得境外学历</w:t>
      </w:r>
      <w:r>
        <w:rPr>
          <w:rFonts w:hint="eastAsia" w:ascii="??_GB2312" w:eastAsia="Times New Roman"/>
          <w:color w:val="000000" w:themeColor="text1"/>
          <w:sz w:val="32"/>
          <w:szCs w:val="32"/>
          <w14:textFill>
            <w14:solidFill>
              <w14:schemeClr w14:val="tx1"/>
            </w14:solidFill>
          </w14:textFill>
        </w:rPr>
        <w:t>（</w:t>
      </w:r>
      <w:r>
        <w:rPr>
          <w:rFonts w:ascii="??_GB2312" w:eastAsia="Times New Roman"/>
          <w:color w:val="000000" w:themeColor="text1"/>
          <w:sz w:val="32"/>
          <w:szCs w:val="32"/>
          <w14:textFill>
            <w14:solidFill>
              <w14:schemeClr w14:val="tx1"/>
            </w14:solidFill>
          </w14:textFill>
        </w:rPr>
        <w:t>位</w:t>
      </w:r>
      <w:r>
        <w:rPr>
          <w:rFonts w:hint="eastAsia" w:ascii="??_GB2312" w:eastAsia="Times New Roman"/>
          <w:color w:val="000000" w:themeColor="text1"/>
          <w:sz w:val="32"/>
          <w:szCs w:val="32"/>
          <w14:textFill>
            <w14:solidFill>
              <w14:schemeClr w14:val="tx1"/>
            </w14:solidFill>
          </w14:textFill>
        </w:rPr>
        <w:t>）</w:t>
      </w:r>
      <w:r>
        <w:rPr>
          <w:rFonts w:ascii="??_GB2312" w:eastAsia="Times New Roman"/>
          <w:color w:val="000000" w:themeColor="text1"/>
          <w:sz w:val="32"/>
          <w:szCs w:val="32"/>
          <w14:textFill>
            <w14:solidFill>
              <w14:schemeClr w14:val="tx1"/>
            </w14:solidFill>
          </w14:textFill>
        </w:rPr>
        <w:t>的，需提供教育部留学服务中心出具的《联合办学学历学位评估意见书》或《联合办学学历学位认证书》。</w:t>
      </w:r>
      <w:bookmarkStart w:id="120" w:name="_Toc22445"/>
      <w:bookmarkStart w:id="121" w:name="_Toc16795"/>
      <w:bookmarkStart w:id="122" w:name="_Toc32368"/>
      <w:bookmarkStart w:id="123" w:name="_Toc8453"/>
      <w:bookmarkStart w:id="124" w:name="_Toc23613"/>
      <w:bookmarkStart w:id="125" w:name="_Toc10504"/>
      <w:bookmarkStart w:id="126" w:name="_Toc30743"/>
      <w:bookmarkStart w:id="127" w:name="_Toc14163"/>
    </w:p>
    <w:p>
      <w:pPr>
        <w:pStyle w:val="2"/>
        <w:rPr>
          <w:rFonts w:ascii="楷体" w:hAnsi="楷体" w:eastAsia="楷体" w:cs="楷体"/>
          <w:color w:val="000000" w:themeColor="text1"/>
          <w:sz w:val="32"/>
          <w:szCs w:val="32"/>
          <w14:textFill>
            <w14:solidFill>
              <w14:schemeClr w14:val="tx1"/>
            </w14:solidFill>
          </w14:textFill>
        </w:rPr>
      </w:pPr>
      <w:bookmarkStart w:id="128" w:name="_Toc7669"/>
      <w:r>
        <w:rPr>
          <w:rFonts w:hint="eastAsia" w:ascii="楷体" w:hAnsi="楷体" w:eastAsia="楷体" w:cs="楷体"/>
          <w:color w:val="000000" w:themeColor="text1"/>
          <w:sz w:val="32"/>
          <w:szCs w:val="32"/>
          <w14:textFill>
            <w14:solidFill>
              <w14:schemeClr w14:val="tx1"/>
            </w14:solidFill>
          </w14:textFill>
        </w:rPr>
        <w:t>（三）福建省“双学位”“双专业”教育</w:t>
      </w:r>
      <w:bookmarkEnd w:id="120"/>
      <w:bookmarkEnd w:id="121"/>
      <w:bookmarkEnd w:id="122"/>
      <w:bookmarkEnd w:id="123"/>
      <w:bookmarkEnd w:id="124"/>
      <w:bookmarkEnd w:id="125"/>
      <w:bookmarkEnd w:id="126"/>
      <w:bookmarkEnd w:id="127"/>
      <w:bookmarkEnd w:id="128"/>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根据《关于在全省高校毕业生中试行“双学位”“双专业”教育的意见》（闽教高〔2009〕9号），经修读达到毕业条件并获得“双学位”“双专业”证书的报考者，在本省范围内承认其学历、学位。</w:t>
      </w:r>
    </w:p>
    <w:p>
      <w:pPr>
        <w:pStyle w:val="2"/>
        <w:rPr>
          <w:rFonts w:ascii="楷体" w:hAnsi="楷体" w:eastAsia="楷体" w:cs="楷体"/>
          <w:color w:val="000000" w:themeColor="text1"/>
          <w:sz w:val="32"/>
          <w:szCs w:val="32"/>
          <w14:textFill>
            <w14:solidFill>
              <w14:schemeClr w14:val="tx1"/>
            </w14:solidFill>
          </w14:textFill>
        </w:rPr>
      </w:pPr>
      <w:bookmarkStart w:id="129" w:name="_Toc4851"/>
      <w:bookmarkStart w:id="130" w:name="_Toc14540"/>
      <w:bookmarkStart w:id="131" w:name="_Toc12030"/>
      <w:bookmarkStart w:id="132" w:name="_Toc16941"/>
      <w:bookmarkStart w:id="133" w:name="_Toc32514"/>
      <w:bookmarkStart w:id="134" w:name="_Toc513"/>
      <w:bookmarkStart w:id="135" w:name="_Toc17251"/>
      <w:bookmarkStart w:id="136" w:name="_Toc8728"/>
      <w:bookmarkStart w:id="137" w:name="_Toc1079"/>
      <w:r>
        <w:rPr>
          <w:rFonts w:hint="eastAsia" w:ascii="楷体" w:hAnsi="楷体" w:eastAsia="楷体" w:cs="楷体"/>
          <w:color w:val="000000" w:themeColor="text1"/>
          <w:sz w:val="32"/>
          <w:szCs w:val="32"/>
          <w14:textFill>
            <w14:solidFill>
              <w14:schemeClr w14:val="tx1"/>
            </w14:solidFill>
          </w14:textFill>
        </w:rPr>
        <w:t>（四）提醒事项</w:t>
      </w:r>
      <w:bookmarkEnd w:id="129"/>
      <w:bookmarkEnd w:id="130"/>
      <w:bookmarkEnd w:id="131"/>
      <w:bookmarkEnd w:id="132"/>
      <w:bookmarkEnd w:id="133"/>
      <w:bookmarkEnd w:id="134"/>
      <w:bookmarkEnd w:id="135"/>
      <w:bookmarkEnd w:id="136"/>
      <w:bookmarkEnd w:id="137"/>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资格复核时，招聘单位将对学历（位）情况进行核查，请报考者按照上述要求，提前做好相应认证报告或网上查验准备。</w:t>
      </w:r>
    </w:p>
    <w:p>
      <w:pPr>
        <w:pStyle w:val="2"/>
        <w:rPr>
          <w:rFonts w:ascii="黑体" w:hAnsi="黑体" w:eastAsia="黑体" w:cs="黑体"/>
          <w:color w:val="000000" w:themeColor="text1"/>
          <w:sz w:val="32"/>
          <w:szCs w:val="32"/>
          <w14:textFill>
            <w14:solidFill>
              <w14:schemeClr w14:val="tx1"/>
            </w14:solidFill>
          </w14:textFill>
        </w:rPr>
      </w:pPr>
      <w:bookmarkStart w:id="138" w:name="_Toc17071"/>
      <w:r>
        <w:rPr>
          <w:rFonts w:hint="eastAsia" w:ascii="黑体" w:hAnsi="黑体" w:eastAsia="黑体" w:cs="黑体"/>
          <w:color w:val="000000" w:themeColor="text1"/>
          <w:sz w:val="32"/>
          <w:szCs w:val="32"/>
          <w14:textFill>
            <w14:solidFill>
              <w14:schemeClr w14:val="tx1"/>
            </w14:solidFill>
          </w14:textFill>
        </w:rPr>
        <w:t>七、专业认定</w:t>
      </w:r>
      <w:bookmarkEnd w:id="104"/>
      <w:bookmarkEnd w:id="105"/>
      <w:bookmarkEnd w:id="106"/>
      <w:bookmarkEnd w:id="107"/>
      <w:bookmarkEnd w:id="108"/>
      <w:bookmarkEnd w:id="109"/>
      <w:bookmarkEnd w:id="110"/>
      <w:bookmarkEnd w:id="138"/>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本次招聘考试以《福建省机关事业单位招考专业指导目录（2021年）》（以下简称《专业指导目录》）作为岗位专业条件设置和审核的依据。其他来源的专业指导目录不作为本次报考和审核的依据。</w:t>
      </w:r>
    </w:p>
    <w:p>
      <w:pPr>
        <w:pStyle w:val="2"/>
        <w:rPr>
          <w:rFonts w:ascii="楷体" w:hAnsi="楷体" w:eastAsia="楷体" w:cs="楷体"/>
          <w:color w:val="000000" w:themeColor="text1"/>
          <w:sz w:val="32"/>
          <w:szCs w:val="32"/>
          <w14:textFill>
            <w14:solidFill>
              <w14:schemeClr w14:val="tx1"/>
            </w14:solidFill>
          </w14:textFill>
        </w:rPr>
      </w:pPr>
      <w:bookmarkStart w:id="139" w:name="_Toc10067"/>
      <w:bookmarkStart w:id="140" w:name="_Toc23238"/>
      <w:bookmarkStart w:id="141" w:name="_Toc10798"/>
      <w:bookmarkStart w:id="142" w:name="_Toc17684"/>
      <w:bookmarkStart w:id="143" w:name="_Toc12880"/>
      <w:bookmarkStart w:id="144" w:name="_Toc5122"/>
      <w:bookmarkStart w:id="145" w:name="_Toc20957"/>
      <w:bookmarkStart w:id="146" w:name="_Toc13178"/>
      <w:r>
        <w:rPr>
          <w:rFonts w:hint="eastAsia" w:ascii="楷体" w:hAnsi="楷体" w:eastAsia="楷体" w:cs="楷体"/>
          <w:color w:val="000000" w:themeColor="text1"/>
          <w:sz w:val="32"/>
          <w:szCs w:val="32"/>
          <w14:textFill>
            <w14:solidFill>
              <w14:schemeClr w14:val="tx1"/>
            </w14:solidFill>
          </w14:textFill>
        </w:rPr>
        <w:t>（一）填报专业名称</w:t>
      </w:r>
      <w:bookmarkEnd w:id="139"/>
      <w:bookmarkEnd w:id="140"/>
      <w:bookmarkEnd w:id="141"/>
      <w:bookmarkEnd w:id="142"/>
      <w:bookmarkEnd w:id="143"/>
      <w:bookmarkEnd w:id="144"/>
      <w:bookmarkEnd w:id="145"/>
      <w:bookmarkEnd w:id="146"/>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报考者报名时应严格按照所持证书（认证报告）所注明专业只字不差、如实填写所学专业。其中，全日制普通教育学历所学专业以毕业证书为准，非全日制普通教育学历和境外学历（位）所学专业以教育部学历（位）认证部门出具的认证报告为准</w:t>
      </w:r>
      <w:r>
        <w:rPr>
          <w:rFonts w:hint="eastAsia" w:ascii="??_GB2312" w:eastAsia="Times New Roman"/>
          <w:color w:val="000000" w:themeColor="text1"/>
          <w:sz w:val="32"/>
          <w:szCs w:val="32"/>
          <w14:textFill>
            <w14:solidFill>
              <w14:schemeClr w14:val="tx1"/>
            </w14:solidFill>
          </w14:textFill>
        </w:rPr>
        <w:t>。</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如所学专业有专业方向但未在毕业证书上体现的，报考者应先按照毕业证书上注明的专业填报，同时在报名信息表的备注栏中加以说明，并配合招聘单位要求提供本章节第（三）款第2点列示的证明材料。</w:t>
      </w:r>
    </w:p>
    <w:p>
      <w:pPr>
        <w:pStyle w:val="2"/>
        <w:rPr>
          <w:rFonts w:ascii="楷体" w:hAnsi="楷体" w:eastAsia="楷体" w:cs="楷体"/>
          <w:color w:val="000000" w:themeColor="text1"/>
          <w:sz w:val="32"/>
          <w:szCs w:val="32"/>
          <w14:textFill>
            <w14:solidFill>
              <w14:schemeClr w14:val="tx1"/>
            </w14:solidFill>
          </w14:textFill>
        </w:rPr>
      </w:pPr>
      <w:bookmarkStart w:id="147" w:name="_Toc2160"/>
      <w:bookmarkStart w:id="148" w:name="_Toc8254"/>
      <w:bookmarkStart w:id="149" w:name="_Toc28824"/>
      <w:bookmarkStart w:id="150" w:name="_Toc18233"/>
      <w:bookmarkStart w:id="151" w:name="_Toc26794"/>
      <w:bookmarkStart w:id="152" w:name="_Toc11746"/>
      <w:bookmarkStart w:id="153" w:name="_Toc26297"/>
      <w:bookmarkStart w:id="154" w:name="_Toc7347"/>
      <w:r>
        <w:rPr>
          <w:rFonts w:hint="eastAsia" w:ascii="楷体" w:hAnsi="楷体" w:eastAsia="楷体" w:cs="楷体"/>
          <w:color w:val="000000" w:themeColor="text1"/>
          <w:sz w:val="32"/>
          <w:szCs w:val="32"/>
          <w14:textFill>
            <w14:solidFill>
              <w14:schemeClr w14:val="tx1"/>
            </w14:solidFill>
          </w14:textFill>
        </w:rPr>
        <w:t>（二）专业与学历（位）的对应关系</w:t>
      </w:r>
      <w:bookmarkEnd w:id="147"/>
      <w:bookmarkEnd w:id="148"/>
      <w:bookmarkEnd w:id="149"/>
      <w:bookmarkEnd w:id="150"/>
      <w:bookmarkEnd w:id="151"/>
      <w:bookmarkEnd w:id="152"/>
      <w:bookmarkEnd w:id="153"/>
      <w:bookmarkEnd w:id="154"/>
    </w:p>
    <w:p>
      <w:pPr>
        <w:ind w:firstLine="640" w:firstLineChars="200"/>
        <w:rPr>
          <w:rFonts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岗位要求的专业条件与学历条件相互匹配。报考者可使用本人已获得的任意学历及其对应的专业进行报考，如具有硕士研究生学历的报考者也可使用本人的本科学历及其对应的专业报考，但所用专业对应的学历不得低于该岗位设置的学历条件要求。</w:t>
      </w:r>
    </w:p>
    <w:p>
      <w:pPr>
        <w:pStyle w:val="2"/>
        <w:rPr>
          <w:rFonts w:ascii="楷体" w:hAnsi="楷体" w:eastAsia="楷体" w:cs="楷体"/>
          <w:color w:val="000000" w:themeColor="text1"/>
          <w:sz w:val="32"/>
          <w:szCs w:val="32"/>
          <w14:textFill>
            <w14:solidFill>
              <w14:schemeClr w14:val="tx1"/>
            </w14:solidFill>
          </w14:textFill>
        </w:rPr>
      </w:pPr>
      <w:bookmarkStart w:id="155" w:name="_Toc21515"/>
      <w:bookmarkStart w:id="156" w:name="_Toc22335"/>
      <w:bookmarkStart w:id="157" w:name="_Toc5876"/>
      <w:bookmarkStart w:id="158" w:name="_Toc9196"/>
      <w:bookmarkStart w:id="159" w:name="_Toc6351"/>
      <w:bookmarkStart w:id="160" w:name="_Toc20923"/>
      <w:bookmarkStart w:id="161" w:name="_Toc11369"/>
      <w:bookmarkStart w:id="162" w:name="_Toc11691"/>
      <w:bookmarkStart w:id="163" w:name="_（三）专业资格的认定"/>
      <w:r>
        <w:rPr>
          <w:rFonts w:hint="eastAsia" w:ascii="楷体" w:hAnsi="楷体" w:eastAsia="楷体" w:cs="楷体"/>
          <w:color w:val="000000" w:themeColor="text1"/>
          <w:sz w:val="32"/>
          <w:szCs w:val="32"/>
          <w14:textFill>
            <w14:solidFill>
              <w14:schemeClr w14:val="tx1"/>
            </w14:solidFill>
          </w14:textFill>
        </w:rPr>
        <w:t>（三）专业资格的认定</w:t>
      </w:r>
      <w:bookmarkEnd w:id="155"/>
      <w:bookmarkEnd w:id="156"/>
      <w:bookmarkEnd w:id="157"/>
      <w:bookmarkEnd w:id="158"/>
      <w:bookmarkEnd w:id="159"/>
      <w:bookmarkEnd w:id="160"/>
      <w:bookmarkEnd w:id="161"/>
      <w:bookmarkEnd w:id="162"/>
    </w:p>
    <w:bookmarkEnd w:id="163"/>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1.专业条件为“××类”的岗位，报考者所学专业须符合《专业指导目录》中“××类”下所列专业，专业条件为具体专业名称的，报考者所学专业须符合所列专业。</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专业条件要求“临床医学”专业的，含“临床医学”或“临床医学硕士”或“临床医学博士”专业，其他专业以此类推。</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2.岗位资格条件要求“专业方向”的，报考者须提供学历证、学位证、主干课程成绩表、论文发表情况、学校证明等有效凭证（下同），由招聘单位</w:t>
      </w:r>
      <w:r>
        <w:rPr>
          <w:rFonts w:hint="eastAsia" w:ascii="??_GB2312" w:eastAsia="Times New Roman"/>
          <w:color w:val="000000" w:themeColor="text1"/>
          <w:sz w:val="32"/>
          <w:szCs w:val="32"/>
          <w:lang w:eastAsia="zh-CN"/>
          <w14:textFill>
            <w14:solidFill>
              <w14:schemeClr w14:val="tx1"/>
            </w14:solidFill>
          </w14:textFill>
        </w:rPr>
        <w:t>会同厦门医学院</w:t>
      </w:r>
      <w:r>
        <w:rPr>
          <w:rFonts w:hint="eastAsia" w:ascii="??_GB2312" w:eastAsia="Times New Roman"/>
          <w:color w:val="000000" w:themeColor="text1"/>
          <w:sz w:val="32"/>
          <w:szCs w:val="32"/>
          <w14:textFill>
            <w14:solidFill>
              <w14:schemeClr w14:val="tx1"/>
            </w14:solidFill>
          </w14:textFill>
        </w:rPr>
        <w:t>认定。</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3.如报考者所学专业不在《专业指导目录》中但与拟报考岗位所需专业“相近、相似”的，报考者须参照上述佐证“专业方向”应提供的有效凭证，由招聘单位</w:t>
      </w:r>
      <w:r>
        <w:rPr>
          <w:rFonts w:hint="eastAsia" w:ascii="??_GB2312" w:eastAsia="Times New Roman"/>
          <w:color w:val="000000" w:themeColor="text1"/>
          <w:sz w:val="32"/>
          <w:szCs w:val="32"/>
          <w:lang w:eastAsia="zh-CN"/>
          <w14:textFill>
            <w14:solidFill>
              <w14:schemeClr w14:val="tx1"/>
            </w14:solidFill>
          </w14:textFill>
        </w:rPr>
        <w:t>审核后报厦门医学院</w:t>
      </w:r>
      <w:r>
        <w:rPr>
          <w:rFonts w:hint="eastAsia" w:ascii="??_GB2312" w:eastAsia="Times New Roman"/>
          <w:color w:val="000000" w:themeColor="text1"/>
          <w:sz w:val="32"/>
          <w:szCs w:val="32"/>
          <w14:textFill>
            <w14:solidFill>
              <w14:schemeClr w14:val="tx1"/>
            </w14:solidFill>
          </w14:textFill>
        </w:rPr>
        <w:t>认定。报考者所学专业在《专业指导目录》中但未列入岗位所需专业要求的，不得报考该岗位。</w:t>
      </w:r>
    </w:p>
    <w:p>
      <w:pPr>
        <w:pStyle w:val="2"/>
        <w:rPr>
          <w:rFonts w:ascii="黑体" w:hAnsi="黑体" w:eastAsia="黑体" w:cs="黑体"/>
          <w:color w:val="000000" w:themeColor="text1"/>
          <w:sz w:val="32"/>
          <w:szCs w:val="32"/>
          <w14:textFill>
            <w14:solidFill>
              <w14:schemeClr w14:val="tx1"/>
            </w14:solidFill>
          </w14:textFill>
        </w:rPr>
      </w:pPr>
      <w:bookmarkStart w:id="164" w:name="_Toc5985"/>
      <w:bookmarkStart w:id="165" w:name="_Toc26125"/>
      <w:bookmarkStart w:id="166" w:name="_Toc2928"/>
      <w:bookmarkStart w:id="167" w:name="_Toc10277"/>
      <w:bookmarkStart w:id="168" w:name="_Toc10327"/>
      <w:bookmarkStart w:id="169" w:name="_Toc19746"/>
      <w:bookmarkStart w:id="170" w:name="_Toc6797"/>
      <w:bookmarkStart w:id="171" w:name="_Toc22150"/>
      <w:r>
        <w:rPr>
          <w:rFonts w:hint="eastAsia" w:ascii="黑体" w:hAnsi="黑体" w:eastAsia="黑体" w:cs="黑体"/>
          <w:color w:val="000000" w:themeColor="text1"/>
          <w:sz w:val="32"/>
          <w:szCs w:val="32"/>
          <w14:textFill>
            <w14:solidFill>
              <w14:schemeClr w14:val="tx1"/>
            </w14:solidFill>
          </w14:textFill>
        </w:rPr>
        <w:t>八、工作经验</w:t>
      </w:r>
      <w:bookmarkEnd w:id="164"/>
      <w:bookmarkEnd w:id="165"/>
      <w:bookmarkEnd w:id="166"/>
      <w:bookmarkEnd w:id="167"/>
      <w:bookmarkEnd w:id="168"/>
      <w:bookmarkEnd w:id="169"/>
      <w:r>
        <w:rPr>
          <w:rFonts w:hint="eastAsia" w:ascii="黑体" w:hAnsi="黑体" w:eastAsia="黑体" w:cs="黑体"/>
          <w:color w:val="000000" w:themeColor="text1"/>
          <w:sz w:val="32"/>
          <w:szCs w:val="32"/>
          <w14:textFill>
            <w14:solidFill>
              <w14:schemeClr w14:val="tx1"/>
            </w14:solidFill>
          </w14:textFill>
        </w:rPr>
        <w:t>认定</w:t>
      </w:r>
      <w:bookmarkEnd w:id="170"/>
      <w:bookmarkEnd w:id="171"/>
    </w:p>
    <w:p>
      <w:pPr>
        <w:ind w:firstLine="640" w:firstLineChars="200"/>
        <w:rPr>
          <w:rFonts w:hint="eastAsia" w:ascii="??_GB2312" w:eastAsia="Times New Roman"/>
          <w:color w:val="000000" w:themeColor="text1"/>
          <w:sz w:val="32"/>
          <w:szCs w:val="32"/>
          <w14:textFill>
            <w14:solidFill>
              <w14:schemeClr w14:val="tx1"/>
            </w14:solidFill>
          </w14:textFill>
        </w:rPr>
      </w:pPr>
      <w:bookmarkStart w:id="172" w:name="_Toc11732"/>
      <w:bookmarkStart w:id="173" w:name="_Toc3985"/>
      <w:bookmarkStart w:id="174" w:name="_Toc13553"/>
      <w:bookmarkStart w:id="175" w:name="_Toc25407"/>
      <w:bookmarkStart w:id="176" w:name="_Toc3728"/>
      <w:bookmarkStart w:id="177" w:name="_Toc14918"/>
      <w:bookmarkStart w:id="178" w:name="_Toc20146"/>
      <w:r>
        <w:rPr>
          <w:rFonts w:hint="eastAsia" w:ascii="??_GB2312" w:eastAsia="Times New Roman"/>
          <w:color w:val="000000" w:themeColor="text1"/>
          <w:sz w:val="32"/>
          <w:szCs w:val="32"/>
          <w14:textFill>
            <w14:solidFill>
              <w14:schemeClr w14:val="tx1"/>
            </w14:solidFill>
          </w14:textFill>
        </w:rPr>
        <w:t>岗位资格条件要求“专业工作经验”的，报考者需提供养老保险缴费凭证或工资发放表等有效凭证、聘用(劳动)合同和所在单位出具的符合岗位资格条件要求的相关岗位的工作情况证明。全日制普通教育毕业生参加经人社部门核定的职业见习，若从事的工作与报考岗位要求的专业工作经验相关，其毕业后的职业见习年限可视同工作经验年限。</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不同单位的相同（似）工作经验证明可分别开具，工作年限可累计计算。</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全日制普通教育期间的社会实践经历(含兼职工作等)，不能视为工作经验。</w:t>
      </w:r>
    </w:p>
    <w:bookmarkEnd w:id="172"/>
    <w:bookmarkEnd w:id="173"/>
    <w:bookmarkEnd w:id="174"/>
    <w:bookmarkEnd w:id="175"/>
    <w:bookmarkEnd w:id="176"/>
    <w:bookmarkEnd w:id="177"/>
    <w:bookmarkEnd w:id="178"/>
    <w:p>
      <w:pPr>
        <w:pStyle w:val="2"/>
        <w:rPr>
          <w:rFonts w:ascii="黑体" w:hAnsi="黑体" w:eastAsia="黑体" w:cs="黑体"/>
          <w:color w:val="000000" w:themeColor="text1"/>
          <w:sz w:val="32"/>
          <w:szCs w:val="32"/>
          <w14:textFill>
            <w14:solidFill>
              <w14:schemeClr w14:val="tx1"/>
            </w14:solidFill>
          </w14:textFill>
        </w:rPr>
      </w:pPr>
      <w:bookmarkStart w:id="179" w:name="_Toc18359_WPSOffice_Level1"/>
      <w:bookmarkStart w:id="180" w:name="_Toc5722"/>
      <w:bookmarkStart w:id="181" w:name="_Toc1601"/>
      <w:bookmarkStart w:id="182" w:name="_Toc29002"/>
      <w:bookmarkStart w:id="183" w:name="_Toc25623"/>
      <w:bookmarkStart w:id="184" w:name="_Toc25367"/>
      <w:bookmarkStart w:id="185" w:name="_Toc7131"/>
      <w:bookmarkStart w:id="186" w:name="_Toc3536"/>
      <w:bookmarkStart w:id="187" w:name="_Toc17311"/>
      <w:bookmarkStart w:id="188" w:name="_十、体检"/>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w:t>
      </w:r>
      <w:bookmarkEnd w:id="179"/>
      <w:r>
        <w:rPr>
          <w:rFonts w:hint="eastAsia" w:ascii="黑体" w:hAnsi="黑体" w:eastAsia="黑体" w:cs="黑体"/>
          <w:color w:val="000000" w:themeColor="text1"/>
          <w:sz w:val="32"/>
          <w:szCs w:val="32"/>
          <w14:textFill>
            <w14:solidFill>
              <w14:schemeClr w14:val="tx1"/>
            </w14:solidFill>
          </w14:textFill>
        </w:rPr>
        <w:t>体检</w:t>
      </w:r>
      <w:bookmarkEnd w:id="180"/>
      <w:bookmarkEnd w:id="181"/>
      <w:bookmarkEnd w:id="182"/>
      <w:bookmarkEnd w:id="183"/>
      <w:bookmarkEnd w:id="184"/>
      <w:bookmarkEnd w:id="185"/>
      <w:bookmarkEnd w:id="186"/>
      <w:bookmarkEnd w:id="187"/>
    </w:p>
    <w:bookmarkEnd w:id="188"/>
    <w:p>
      <w:pPr>
        <w:pStyle w:val="2"/>
        <w:rPr>
          <w:rFonts w:ascii="楷体" w:hAnsi="楷体" w:eastAsia="楷体" w:cs="楷体"/>
          <w:color w:val="000000" w:themeColor="text1"/>
          <w:sz w:val="32"/>
          <w:szCs w:val="32"/>
          <w14:textFill>
            <w14:solidFill>
              <w14:schemeClr w14:val="tx1"/>
            </w14:solidFill>
          </w14:textFill>
        </w:rPr>
      </w:pPr>
      <w:bookmarkStart w:id="189" w:name="_Toc27716"/>
      <w:bookmarkStart w:id="190" w:name="_Toc32234"/>
      <w:bookmarkStart w:id="191" w:name="_Toc19599"/>
      <w:bookmarkStart w:id="192" w:name="_Toc27514"/>
      <w:bookmarkStart w:id="193" w:name="_Toc27190"/>
      <w:bookmarkStart w:id="194" w:name="_Toc28695"/>
      <w:bookmarkStart w:id="195" w:name="_Toc3"/>
      <w:bookmarkStart w:id="196" w:name="_Toc5253"/>
      <w:bookmarkStart w:id="197" w:name="_（一）确定人选"/>
      <w:r>
        <w:rPr>
          <w:rFonts w:hint="eastAsia" w:ascii="楷体" w:hAnsi="楷体" w:eastAsia="楷体" w:cs="楷体"/>
          <w:color w:val="000000" w:themeColor="text1"/>
          <w:sz w:val="32"/>
          <w:szCs w:val="32"/>
          <w14:textFill>
            <w14:solidFill>
              <w14:schemeClr w14:val="tx1"/>
            </w14:solidFill>
          </w14:textFill>
        </w:rPr>
        <w:t>（一）确定人选</w:t>
      </w:r>
      <w:bookmarkEnd w:id="189"/>
      <w:bookmarkEnd w:id="190"/>
      <w:bookmarkEnd w:id="191"/>
      <w:bookmarkEnd w:id="192"/>
      <w:bookmarkEnd w:id="193"/>
      <w:bookmarkEnd w:id="194"/>
      <w:bookmarkEnd w:id="195"/>
      <w:bookmarkEnd w:id="196"/>
    </w:p>
    <w:bookmarkEnd w:id="197"/>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体检人选由从笔试、面试成绩均合格者中，根据综合总分排名，按岗位拟聘人数1:1的比例从高分至低分确定。如遇综合总分相同，按以下规则进一步确定名次排列：</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1.按笔试成绩从高到低排列；</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2.笔试成绩又相同，按面试成绩排列；</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3.面试成绩依然相同，符合国家、福建省或厦门市文件规定优先对象的，优先进入体检。若无优先对象或存在2名（含）以上优先对象，可由考生在协商一致的情况下签名同意自行采取简易方式确定最终进入体检环节人选，或经招聘单位同意加试一场面试，取重新面试成绩较高者进入体检。</w:t>
      </w:r>
    </w:p>
    <w:p>
      <w:pPr>
        <w:pStyle w:val="2"/>
        <w:rPr>
          <w:rFonts w:ascii="楷体" w:hAnsi="楷体" w:eastAsia="楷体" w:cs="楷体"/>
          <w:color w:val="000000" w:themeColor="text1"/>
          <w:sz w:val="32"/>
          <w:szCs w:val="32"/>
          <w14:textFill>
            <w14:solidFill>
              <w14:schemeClr w14:val="tx1"/>
            </w14:solidFill>
          </w14:textFill>
        </w:rPr>
      </w:pPr>
      <w:bookmarkStart w:id="198" w:name="_Toc5078"/>
      <w:bookmarkStart w:id="199" w:name="_Toc29898"/>
      <w:bookmarkStart w:id="200" w:name="_Toc28613"/>
      <w:bookmarkStart w:id="201" w:name="_Toc17027"/>
      <w:bookmarkStart w:id="202" w:name="_Toc15471"/>
      <w:bookmarkStart w:id="203" w:name="_Toc31894"/>
      <w:bookmarkStart w:id="204" w:name="_Toc25487"/>
      <w:bookmarkStart w:id="205" w:name="_Toc11182"/>
      <w:r>
        <w:rPr>
          <w:rFonts w:hint="eastAsia" w:ascii="楷体" w:hAnsi="楷体" w:eastAsia="楷体" w:cs="楷体"/>
          <w:color w:val="000000" w:themeColor="text1"/>
          <w:sz w:val="32"/>
          <w:szCs w:val="32"/>
          <w14:textFill>
            <w14:solidFill>
              <w14:schemeClr w14:val="tx1"/>
            </w14:solidFill>
          </w14:textFill>
        </w:rPr>
        <w:t>（二）组织体检</w:t>
      </w:r>
      <w:bookmarkEnd w:id="198"/>
      <w:bookmarkEnd w:id="199"/>
      <w:bookmarkEnd w:id="200"/>
      <w:bookmarkEnd w:id="201"/>
      <w:bookmarkEnd w:id="202"/>
      <w:bookmarkEnd w:id="203"/>
      <w:bookmarkEnd w:id="204"/>
      <w:bookmarkEnd w:id="205"/>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体检由招聘单位组织实施。体检人员应根据招聘单位通知要求按时参加并配合体检，否则视为自动放弃体检资格。</w:t>
      </w:r>
    </w:p>
    <w:p>
      <w:pPr>
        <w:pStyle w:val="2"/>
        <w:rPr>
          <w:rFonts w:ascii="楷体" w:hAnsi="楷体" w:eastAsia="楷体" w:cs="楷体"/>
          <w:color w:val="000000" w:themeColor="text1"/>
          <w:sz w:val="32"/>
          <w:szCs w:val="32"/>
          <w14:textFill>
            <w14:solidFill>
              <w14:schemeClr w14:val="tx1"/>
            </w14:solidFill>
          </w14:textFill>
        </w:rPr>
      </w:pPr>
      <w:bookmarkStart w:id="206" w:name="_Toc21764"/>
      <w:bookmarkStart w:id="207" w:name="_Toc14139"/>
      <w:bookmarkStart w:id="208" w:name="_Toc5442"/>
      <w:bookmarkStart w:id="209" w:name="_Toc30279"/>
      <w:bookmarkStart w:id="210" w:name="_Toc8135"/>
      <w:bookmarkStart w:id="211" w:name="_Toc12596"/>
      <w:bookmarkStart w:id="212" w:name="_Toc20421"/>
      <w:bookmarkStart w:id="213" w:name="_Toc4437"/>
      <w:bookmarkStart w:id="214" w:name="_（三）体检依据"/>
      <w:r>
        <w:rPr>
          <w:rFonts w:hint="eastAsia" w:ascii="楷体" w:hAnsi="楷体" w:eastAsia="楷体" w:cs="楷体"/>
          <w:color w:val="000000" w:themeColor="text1"/>
          <w:sz w:val="32"/>
          <w:szCs w:val="32"/>
          <w14:textFill>
            <w14:solidFill>
              <w14:schemeClr w14:val="tx1"/>
            </w14:solidFill>
          </w14:textFill>
        </w:rPr>
        <w:t>（三）体检依据</w:t>
      </w:r>
      <w:bookmarkEnd w:id="206"/>
      <w:bookmarkEnd w:id="207"/>
      <w:bookmarkEnd w:id="208"/>
      <w:bookmarkEnd w:id="209"/>
      <w:bookmarkEnd w:id="210"/>
      <w:bookmarkEnd w:id="211"/>
      <w:bookmarkEnd w:id="212"/>
      <w:bookmarkEnd w:id="213"/>
    </w:p>
    <w:bookmarkEnd w:id="214"/>
    <w:p>
      <w:pPr>
        <w:ind w:firstLine="640" w:firstLineChars="200"/>
        <w:rPr>
          <w:rFonts w:hint="eastAsia" w:ascii="??_GB2312" w:eastAsia="Times New Roman"/>
          <w:color w:val="000000" w:themeColor="text1"/>
          <w:sz w:val="32"/>
          <w:szCs w:val="32"/>
          <w14:textFill>
            <w14:solidFill>
              <w14:schemeClr w14:val="tx1"/>
            </w14:solidFill>
          </w14:textFill>
        </w:rPr>
      </w:pPr>
      <w:bookmarkStart w:id="215" w:name="_Toc23446"/>
      <w:bookmarkStart w:id="216" w:name="_Toc16484"/>
      <w:bookmarkStart w:id="217" w:name="_Toc16762"/>
      <w:bookmarkStart w:id="218" w:name="_Toc30928"/>
      <w:bookmarkStart w:id="219" w:name="_Toc13211"/>
      <w:bookmarkStart w:id="220" w:name="_Toc29748"/>
      <w:bookmarkStart w:id="221" w:name="_Toc13607"/>
      <w:r>
        <w:rPr>
          <w:rFonts w:hint="eastAsia" w:ascii="??_GB2312" w:eastAsia="Times New Roman"/>
          <w:color w:val="000000" w:themeColor="text1"/>
          <w:sz w:val="32"/>
          <w:szCs w:val="32"/>
          <w14:textFill>
            <w14:solidFill>
              <w14:schemeClr w14:val="tx1"/>
            </w14:solidFill>
          </w14:textFill>
        </w:rPr>
        <w:t>本次招聘体检参照《公务员录用体检通用标准（试行）》和《公务员录用体检操作手册（试行）》和《关于修订〈公务员录用体检通用标准（试行）〉及〈公务员录用体检操作手册（试行）〉的通知》（人社部发〔2016〕140号）等文件的要求，具体检测方法由体检医院结合实际确定。</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从事放射岗位人员还需根据《放射工作人员职业健康监护技术规范》（卫通〔2011〕2号）完成岗前必检项目的体检。从事医学检验岗位人员体检结果还应满足《公务员录用体检特殊标准（试行）》（人社部发〔2010〕82号）对身体条件的要求。厦门市中心血站采供血护士、检验技师1和检验技师2岗位体检人员需符合《血站质量管理规范》要求。</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体（复）检费用个人自理。</w:t>
      </w:r>
    </w:p>
    <w:p>
      <w:pPr>
        <w:pStyle w:val="2"/>
        <w:rPr>
          <w:rFonts w:ascii="楷体" w:hAnsi="楷体" w:eastAsia="楷体" w:cs="楷体"/>
          <w:color w:val="000000" w:themeColor="text1"/>
          <w:sz w:val="32"/>
          <w:szCs w:val="32"/>
          <w14:textFill>
            <w14:solidFill>
              <w14:schemeClr w14:val="tx1"/>
            </w14:solidFill>
          </w14:textFill>
        </w:rPr>
      </w:pPr>
      <w:bookmarkStart w:id="222" w:name="_Toc17645"/>
      <w:bookmarkStart w:id="223" w:name="_（四）体检复检"/>
      <w:r>
        <w:rPr>
          <w:rFonts w:hint="eastAsia" w:ascii="楷体" w:hAnsi="楷体" w:eastAsia="楷体" w:cs="楷体"/>
          <w:color w:val="000000" w:themeColor="text1"/>
          <w:sz w:val="32"/>
          <w:szCs w:val="32"/>
          <w14:textFill>
            <w14:solidFill>
              <w14:schemeClr w14:val="tx1"/>
            </w14:solidFill>
          </w14:textFill>
        </w:rPr>
        <w:t>（四）体检复检</w:t>
      </w:r>
      <w:bookmarkEnd w:id="215"/>
      <w:bookmarkEnd w:id="216"/>
      <w:bookmarkEnd w:id="217"/>
      <w:bookmarkEnd w:id="218"/>
      <w:bookmarkEnd w:id="219"/>
      <w:bookmarkEnd w:id="220"/>
      <w:bookmarkEnd w:id="221"/>
      <w:bookmarkEnd w:id="222"/>
    </w:p>
    <w:bookmarkEnd w:id="223"/>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复检参照人力资源社会保障部、卫生部、国家公务员局《关于进一步做好公务员考试录用体检工作的通知》(人社部发〔2012〕65号)的有关规定执行，其中：</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1. 对心率、视力、听力、血压等项目达不到体检合格标准的，安排当日复检；对边缘性心脏杂音、病理性心电图、病理性杂音、频发早搏（心电图证实）等项目达不到体检合格标准的，安排当场复检。</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2.体检人员对非当日或非当场复检的体检项目结果有疑义的，可在接到体检结论的7日内提出复检申请，由</w:t>
      </w:r>
      <w:r>
        <w:rPr>
          <w:rFonts w:hint="eastAsia" w:ascii="??_GB2312" w:eastAsia="Times New Roman"/>
          <w:color w:val="000000" w:themeColor="text1"/>
          <w:sz w:val="32"/>
          <w:szCs w:val="32"/>
          <w:lang w:eastAsia="zh-CN"/>
          <w14:textFill>
            <w14:solidFill>
              <w14:schemeClr w14:val="tx1"/>
            </w14:solidFill>
          </w14:textFill>
        </w:rPr>
        <w:t>招聘单位</w:t>
      </w:r>
      <w:r>
        <w:rPr>
          <w:rFonts w:hint="eastAsia" w:ascii="??_GB2312" w:eastAsia="Times New Roman"/>
          <w:color w:val="000000" w:themeColor="text1"/>
          <w:sz w:val="32"/>
          <w:szCs w:val="32"/>
          <w14:textFill>
            <w14:solidFill>
              <w14:schemeClr w14:val="tx1"/>
            </w14:solidFill>
          </w14:textFill>
        </w:rPr>
        <w:t>另行指定医院复检。复检时不得告知复检项目。复检只能进行1次，体检结论以复检的结果为准。自行体检的结果一律无效。</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3.招聘单位对体检人员体检结论有疑义的，也可在接到体检结论通知之日起7日内决定是否安排体检人员复检。</w:t>
      </w:r>
    </w:p>
    <w:p>
      <w:pPr>
        <w:pStyle w:val="2"/>
        <w:rPr>
          <w:rFonts w:ascii="楷体" w:hAnsi="楷体" w:eastAsia="楷体" w:cs="楷体"/>
          <w:color w:val="000000" w:themeColor="text1"/>
          <w:sz w:val="32"/>
          <w:szCs w:val="32"/>
          <w14:textFill>
            <w14:solidFill>
              <w14:schemeClr w14:val="tx1"/>
            </w14:solidFill>
          </w14:textFill>
        </w:rPr>
      </w:pPr>
      <w:bookmarkStart w:id="224" w:name="_Toc739"/>
      <w:bookmarkStart w:id="225" w:name="_Toc11349"/>
      <w:bookmarkStart w:id="226" w:name="_Toc8084"/>
      <w:bookmarkStart w:id="227" w:name="_Toc647"/>
      <w:bookmarkStart w:id="228" w:name="_Toc4346"/>
      <w:bookmarkStart w:id="229" w:name="_Toc32448"/>
      <w:bookmarkStart w:id="230" w:name="_Toc28126"/>
      <w:bookmarkStart w:id="231" w:name="_Toc2732"/>
      <w:r>
        <w:rPr>
          <w:rFonts w:hint="eastAsia" w:ascii="楷体" w:hAnsi="楷体" w:eastAsia="楷体" w:cs="楷体"/>
          <w:color w:val="000000" w:themeColor="text1"/>
          <w:sz w:val="32"/>
          <w:szCs w:val="32"/>
          <w14:textFill>
            <w14:solidFill>
              <w14:schemeClr w14:val="tx1"/>
            </w14:solidFill>
          </w14:textFill>
        </w:rPr>
        <w:t>（五）可延迟体检的情形</w:t>
      </w:r>
      <w:bookmarkEnd w:id="224"/>
      <w:bookmarkEnd w:id="225"/>
      <w:bookmarkEnd w:id="226"/>
      <w:bookmarkEnd w:id="227"/>
      <w:bookmarkEnd w:id="228"/>
      <w:bookmarkEnd w:id="229"/>
      <w:bookmarkEnd w:id="230"/>
      <w:bookmarkEnd w:id="231"/>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女性报考者因怀孕、哺乳期需申请延期体检的，须提供相应的医学证明并与招聘单位约定延缓体检的合理期限。</w:t>
      </w:r>
    </w:p>
    <w:p>
      <w:pPr>
        <w:pStyle w:val="2"/>
        <w:rPr>
          <w:rFonts w:ascii="黑体" w:hAnsi="黑体" w:eastAsia="黑体" w:cs="黑体"/>
          <w:color w:val="000000" w:themeColor="text1"/>
          <w:sz w:val="32"/>
          <w:szCs w:val="32"/>
          <w14:textFill>
            <w14:solidFill>
              <w14:schemeClr w14:val="tx1"/>
            </w14:solidFill>
          </w14:textFill>
        </w:rPr>
      </w:pPr>
      <w:bookmarkStart w:id="232" w:name="_Toc8472"/>
      <w:bookmarkStart w:id="233" w:name="_Toc13622"/>
      <w:bookmarkStart w:id="234" w:name="_Toc32366"/>
      <w:bookmarkStart w:id="235" w:name="_Toc28818"/>
      <w:bookmarkStart w:id="236" w:name="_Toc5225"/>
      <w:bookmarkStart w:id="237" w:name="_Toc2243"/>
      <w:bookmarkStart w:id="238" w:name="_Toc1565"/>
      <w:bookmarkStart w:id="239" w:name="_Toc11595"/>
      <w:r>
        <w:rPr>
          <w:rFonts w:hint="eastAsia" w:ascii="黑体" w:hAnsi="黑体" w:eastAsia="黑体" w:cs="黑体"/>
          <w:color w:val="000000" w:themeColor="text1"/>
          <w:sz w:val="32"/>
          <w:szCs w:val="32"/>
          <w14:textFill>
            <w14:solidFill>
              <w14:schemeClr w14:val="tx1"/>
            </w14:solidFill>
          </w14:textFill>
        </w:rPr>
        <w:t>十、考察</w:t>
      </w:r>
      <w:bookmarkEnd w:id="232"/>
      <w:bookmarkEnd w:id="233"/>
      <w:bookmarkEnd w:id="234"/>
      <w:bookmarkEnd w:id="235"/>
      <w:bookmarkEnd w:id="236"/>
      <w:bookmarkEnd w:id="237"/>
      <w:bookmarkEnd w:id="238"/>
      <w:bookmarkEnd w:id="239"/>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对体检合格的拟聘人员，由招聘单位组织考察其政治思想、道德品质、廉洁自律、能力素质、工作态度、学习和工作表现及是否需要回避等内容情况，并对拟聘人员的资格条件进行再次审核。</w:t>
      </w:r>
    </w:p>
    <w:p>
      <w:pPr>
        <w:ind w:firstLine="640" w:firstLineChars="200"/>
        <w:rPr>
          <w:rFonts w:hint="eastAsia" w:ascii="??_GB2312" w:eastAsia="Times New Roman"/>
          <w:color w:val="000000" w:themeColor="text1"/>
          <w:sz w:val="32"/>
          <w:szCs w:val="32"/>
          <w:lang w:val="en-US" w:eastAsia="zh-CN"/>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考察工作前，通过中国执行信息公开网（http://zxgk.court.gov.cn/）核实考察对象有无失信被执行的情况。发现考察对象被列为失信被执行人的，将查看对应案号并联系执行法院，函询、核实被执行人履行义务的进展情况。被执行人已履行义务的，应在招聘单位约定的期限内提供执行法院的书面证明，方可进行考察；尚未履行义务的，取消其考察资格。拟聘人员在试用期内被列为失信被执行人的，取消其聘用资格。</w:t>
      </w:r>
      <w:bookmarkStart w:id="240" w:name="_Toc9126"/>
      <w:bookmarkStart w:id="241" w:name="_Toc6994"/>
      <w:bookmarkStart w:id="242" w:name="_Toc2077"/>
    </w:p>
    <w:p>
      <w:pPr>
        <w:pStyle w:val="2"/>
        <w:rPr>
          <w:rFonts w:ascii="黑体" w:hAnsi="黑体" w:eastAsia="黑体" w:cs="黑体"/>
          <w:color w:val="000000" w:themeColor="text1"/>
          <w:sz w:val="32"/>
          <w:szCs w:val="32"/>
          <w14:textFill>
            <w14:solidFill>
              <w14:schemeClr w14:val="tx1"/>
            </w14:solidFill>
          </w14:textFill>
        </w:rPr>
      </w:pPr>
      <w:bookmarkStart w:id="243" w:name="_Toc3371"/>
      <w:bookmarkStart w:id="244" w:name="_Toc26510"/>
      <w:bookmarkStart w:id="245" w:name="_Toc824"/>
      <w:bookmarkStart w:id="246" w:name="_Toc2745"/>
      <w:bookmarkStart w:id="247" w:name="_Toc27018"/>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、聘用</w:t>
      </w:r>
      <w:bookmarkEnd w:id="240"/>
      <w:bookmarkEnd w:id="241"/>
      <w:bookmarkEnd w:id="242"/>
      <w:bookmarkEnd w:id="243"/>
      <w:bookmarkEnd w:id="244"/>
      <w:bookmarkEnd w:id="245"/>
      <w:bookmarkEnd w:id="246"/>
      <w:bookmarkEnd w:id="247"/>
      <w:bookmarkStart w:id="248" w:name="_Toc5990"/>
      <w:bookmarkStart w:id="249" w:name="_Toc25406"/>
      <w:bookmarkStart w:id="250" w:name="_Toc15037"/>
    </w:p>
    <w:bookmarkEnd w:id="248"/>
    <w:bookmarkEnd w:id="249"/>
    <w:bookmarkEnd w:id="250"/>
    <w:p>
      <w:pPr>
        <w:ind w:firstLine="640" w:firstLineChars="200"/>
        <w:rPr>
          <w:rFonts w:hint="eastAsia" w:ascii="??_GB2312" w:eastAsia="Times New Roman"/>
          <w:color w:val="000000" w:themeColor="text1"/>
          <w:sz w:val="32"/>
          <w:szCs w:val="32"/>
          <w14:textFill>
            <w14:solidFill>
              <w14:schemeClr w14:val="tx1"/>
            </w14:solidFill>
          </w14:textFill>
        </w:rPr>
      </w:pPr>
      <w:bookmarkStart w:id="251" w:name="_Toc7768"/>
      <w:bookmarkStart w:id="252" w:name="_Toc18947"/>
      <w:bookmarkStart w:id="253" w:name="_Toc15865"/>
      <w:bookmarkStart w:id="254" w:name="_Toc5335"/>
      <w:bookmarkStart w:id="255" w:name="_Toc30319"/>
      <w:bookmarkStart w:id="256" w:name="_Toc11026"/>
      <w:bookmarkStart w:id="257" w:name="_Toc5705"/>
      <w:r>
        <w:rPr>
          <w:rFonts w:hint="eastAsia" w:ascii="??_GB2312" w:eastAsia="Times New Roman"/>
          <w:color w:val="000000" w:themeColor="text1"/>
          <w:sz w:val="32"/>
          <w:szCs w:val="32"/>
          <w14:textFill>
            <w14:solidFill>
              <w14:schemeClr w14:val="tx1"/>
            </w14:solidFill>
          </w14:textFill>
        </w:rPr>
        <w:t>公示结果无异议，或经招聘单位报</w:t>
      </w:r>
      <w:r>
        <w:rPr>
          <w:rFonts w:hint="eastAsia" w:ascii="??_GB2312" w:eastAsia="Times New Roman"/>
          <w:color w:val="000000" w:themeColor="text1"/>
          <w:sz w:val="32"/>
          <w:szCs w:val="32"/>
          <w:lang w:eastAsia="zh-CN"/>
          <w14:textFill>
            <w14:solidFill>
              <w14:schemeClr w14:val="tx1"/>
            </w14:solidFill>
          </w14:textFill>
        </w:rPr>
        <w:t>厦门医学院</w:t>
      </w:r>
      <w:r>
        <w:rPr>
          <w:rFonts w:hint="eastAsia" w:ascii="??_GB2312" w:eastAsia="Times New Roman"/>
          <w:color w:val="000000" w:themeColor="text1"/>
          <w:sz w:val="32"/>
          <w:szCs w:val="32"/>
          <w14:textFill>
            <w14:solidFill>
              <w14:schemeClr w14:val="tx1"/>
            </w14:solidFill>
          </w14:textFill>
        </w:rPr>
        <w:t>核实不影响聘用的，拟聘人员应于公示期满后5个月内提供办理聘用手续所需的全部资料（含个人人事档案）。因情况确实特殊、无法在上述期限内提供完备资料的，拟聘人员需提交书面申请并与招聘单位协商一致后报</w:t>
      </w:r>
      <w:r>
        <w:rPr>
          <w:rFonts w:hint="eastAsia" w:ascii="??_GB2312" w:eastAsia="Times New Roman"/>
          <w:color w:val="000000" w:themeColor="text1"/>
          <w:sz w:val="32"/>
          <w:szCs w:val="32"/>
          <w:lang w:eastAsia="zh-CN"/>
          <w14:textFill>
            <w14:solidFill>
              <w14:schemeClr w14:val="tx1"/>
            </w14:solidFill>
          </w14:textFill>
        </w:rPr>
        <w:t>厦门医学院</w:t>
      </w:r>
      <w:r>
        <w:rPr>
          <w:rFonts w:hint="eastAsia" w:ascii="??_GB2312" w:eastAsia="Times New Roman"/>
          <w:color w:val="000000" w:themeColor="text1"/>
          <w:sz w:val="32"/>
          <w:szCs w:val="32"/>
          <w14:textFill>
            <w14:solidFill>
              <w14:schemeClr w14:val="tx1"/>
            </w14:solidFill>
          </w14:textFill>
        </w:rPr>
        <w:t>核准，可适当延长资料提交时限（延长时限原则上不超过2个月），否则视为自动放弃聘用资格。</w:t>
      </w:r>
    </w:p>
    <w:p>
      <w:pPr>
        <w:pStyle w:val="2"/>
        <w:rPr>
          <w:rFonts w:ascii="黑体" w:hAnsi="黑体" w:eastAsia="黑体" w:cs="黑体"/>
          <w:color w:val="000000" w:themeColor="text1"/>
          <w:sz w:val="32"/>
          <w:szCs w:val="32"/>
          <w14:textFill>
            <w14:solidFill>
              <w14:schemeClr w14:val="tx1"/>
            </w14:solidFill>
          </w14:textFill>
        </w:rPr>
      </w:pPr>
      <w:bookmarkStart w:id="258" w:name="_Toc2411"/>
      <w:bookmarkStart w:id="259" w:name="_十三、其他事项"/>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、其他事项</w:t>
      </w:r>
      <w:bookmarkEnd w:id="251"/>
      <w:bookmarkEnd w:id="252"/>
      <w:bookmarkEnd w:id="253"/>
      <w:bookmarkEnd w:id="254"/>
      <w:bookmarkEnd w:id="255"/>
      <w:bookmarkEnd w:id="256"/>
      <w:bookmarkEnd w:id="257"/>
      <w:bookmarkEnd w:id="258"/>
      <w:bookmarkStart w:id="260" w:name="_Toc29849"/>
      <w:bookmarkStart w:id="261" w:name="_Toc28131"/>
      <w:bookmarkStart w:id="262" w:name="_Toc20963"/>
    </w:p>
    <w:bookmarkEnd w:id="259"/>
    <w:p>
      <w:pPr>
        <w:pStyle w:val="2"/>
        <w:rPr>
          <w:rFonts w:ascii="楷体" w:hAnsi="楷体" w:eastAsia="楷体" w:cs="楷体"/>
          <w:color w:val="000000" w:themeColor="text1"/>
          <w:sz w:val="32"/>
          <w:szCs w:val="32"/>
          <w14:textFill>
            <w14:solidFill>
              <w14:schemeClr w14:val="tx1"/>
            </w14:solidFill>
          </w14:textFill>
        </w:rPr>
      </w:pPr>
      <w:bookmarkStart w:id="263" w:name="_Toc12131"/>
      <w:bookmarkStart w:id="264" w:name="_Toc7430"/>
      <w:bookmarkStart w:id="265" w:name="_Toc5470"/>
      <w:bookmarkStart w:id="266" w:name="_Toc10955"/>
      <w:bookmarkStart w:id="267" w:name="_Toc10525"/>
      <w:r>
        <w:rPr>
          <w:rFonts w:hint="eastAsia" w:ascii="楷体" w:hAnsi="楷体" w:eastAsia="楷体" w:cs="楷体"/>
          <w:color w:val="000000" w:themeColor="text1"/>
          <w:sz w:val="32"/>
          <w:szCs w:val="32"/>
          <w14:textFill>
            <w14:solidFill>
              <w14:schemeClr w14:val="tx1"/>
            </w14:solidFill>
          </w14:textFill>
        </w:rPr>
        <w:t>（一）中共党员</w:t>
      </w:r>
      <w:bookmarkEnd w:id="260"/>
      <w:bookmarkEnd w:id="261"/>
      <w:bookmarkEnd w:id="262"/>
      <w:bookmarkEnd w:id="263"/>
      <w:bookmarkEnd w:id="264"/>
      <w:bookmarkEnd w:id="265"/>
      <w:bookmarkEnd w:id="266"/>
      <w:bookmarkEnd w:id="267"/>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岗位资格条件要求为“中共党员”的，中共预备党员也可报考。</w:t>
      </w:r>
    </w:p>
    <w:p>
      <w:pPr>
        <w:pStyle w:val="2"/>
        <w:rPr>
          <w:rFonts w:ascii="楷体" w:hAnsi="楷体" w:eastAsia="楷体" w:cs="楷体"/>
          <w:color w:val="000000" w:themeColor="text1"/>
          <w:sz w:val="32"/>
          <w:szCs w:val="32"/>
          <w14:textFill>
            <w14:solidFill>
              <w14:schemeClr w14:val="tx1"/>
            </w14:solidFill>
          </w14:textFill>
        </w:rPr>
      </w:pPr>
      <w:bookmarkStart w:id="268" w:name="_Toc5176"/>
      <w:bookmarkStart w:id="269" w:name="_Toc29092"/>
      <w:bookmarkStart w:id="270" w:name="_Toc1658"/>
      <w:bookmarkStart w:id="271" w:name="_Toc26996"/>
      <w:bookmarkStart w:id="272" w:name="_Toc31167"/>
      <w:bookmarkStart w:id="273" w:name="_Toc15299"/>
      <w:bookmarkStart w:id="274" w:name="_Toc1238"/>
      <w:bookmarkStart w:id="275" w:name="_Toc5234"/>
      <w:r>
        <w:rPr>
          <w:rFonts w:hint="eastAsia" w:ascii="楷体" w:hAnsi="楷体" w:eastAsia="楷体" w:cs="楷体"/>
          <w:color w:val="000000" w:themeColor="text1"/>
          <w:sz w:val="32"/>
          <w:szCs w:val="32"/>
          <w14:textFill>
            <w14:solidFill>
              <w14:schemeClr w14:val="tx1"/>
            </w14:solidFill>
          </w14:textFill>
        </w:rPr>
        <w:t>（二）职称</w:t>
      </w:r>
      <w:bookmarkEnd w:id="268"/>
      <w:bookmarkEnd w:id="269"/>
      <w:bookmarkEnd w:id="270"/>
      <w:bookmarkEnd w:id="271"/>
      <w:bookmarkEnd w:id="272"/>
      <w:bookmarkEnd w:id="273"/>
      <w:bookmarkEnd w:id="274"/>
      <w:bookmarkEnd w:id="275"/>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岗位资格条件要求的职称是指经社会化评审或考试等方式取得的职称，不含通过非公有制企业职称评审取得的职称。按照国家和省部规定自主评聘的卫生技术系列高级职称人员，须经福建省职改部门确认或颁发的卫生高级专业技术职务任职资格，方能作为岗位正常聘</w:t>
      </w:r>
      <w:r>
        <w:rPr>
          <w:rFonts w:hint="eastAsia" w:ascii="??_GB2312"/>
          <w:color w:val="000000" w:themeColor="text1"/>
          <w:sz w:val="32"/>
          <w:szCs w:val="32"/>
          <w:lang w:eastAsia="zh-CN"/>
          <w14:textFill>
            <w14:solidFill>
              <w14:schemeClr w14:val="tx1"/>
            </w14:solidFill>
          </w14:textFill>
        </w:rPr>
        <w:t>用</w:t>
      </w:r>
      <w:r>
        <w:rPr>
          <w:rFonts w:hint="eastAsia" w:ascii="??_GB2312" w:eastAsia="Times New Roman"/>
          <w:color w:val="000000" w:themeColor="text1"/>
          <w:sz w:val="32"/>
          <w:szCs w:val="32"/>
          <w14:textFill>
            <w14:solidFill>
              <w14:schemeClr w14:val="tx1"/>
            </w14:solidFill>
          </w14:textFill>
        </w:rPr>
        <w:t>和岗位级别晋升的依据。</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以非普通教育学历报考的考生，“医”类岗位须取得与岗位相符的执业助理医师及以上医师资格，“药、护、技”三类岗位须取得与岗位相符的卫生专业技术初级及以上职务任职资格。</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报考者已于报名截止日前通过岗位条件要求（含上述以非普通教育学历报考的考生须取得的资格要求）的相应资格证书考试（或评审等）但未取得证书的，须在资格复核时，提供有效的成绩单及是否通过考试的结论。</w:t>
      </w:r>
      <w:bookmarkStart w:id="276" w:name="_Toc21039"/>
      <w:bookmarkStart w:id="277" w:name="_Toc19212"/>
      <w:bookmarkStart w:id="278" w:name="_Toc21952"/>
    </w:p>
    <w:p>
      <w:pPr>
        <w:pStyle w:val="2"/>
        <w:rPr>
          <w:rFonts w:ascii="楷体" w:hAnsi="楷体" w:eastAsia="楷体" w:cs="楷体"/>
          <w:color w:val="000000" w:themeColor="text1"/>
          <w:sz w:val="32"/>
          <w:szCs w:val="32"/>
          <w14:textFill>
            <w14:solidFill>
              <w14:schemeClr w14:val="tx1"/>
            </w14:solidFill>
          </w14:textFill>
        </w:rPr>
      </w:pPr>
      <w:bookmarkStart w:id="279" w:name="_Toc16150"/>
      <w:bookmarkStart w:id="280" w:name="_Toc4426"/>
      <w:bookmarkStart w:id="281" w:name="_Toc16551"/>
      <w:bookmarkStart w:id="282" w:name="_Toc23989"/>
      <w:bookmarkStart w:id="283" w:name="_Toc23015"/>
      <w:r>
        <w:rPr>
          <w:rFonts w:hint="eastAsia" w:ascii="楷体" w:hAnsi="楷体" w:eastAsia="楷体" w:cs="楷体"/>
          <w:color w:val="000000" w:themeColor="text1"/>
          <w:sz w:val="32"/>
          <w:szCs w:val="32"/>
          <w14:textFill>
            <w14:solidFill>
              <w14:schemeClr w14:val="tx1"/>
            </w14:solidFill>
          </w14:textFill>
        </w:rPr>
        <w:t>（三）规范化培训</w:t>
      </w:r>
      <w:bookmarkEnd w:id="276"/>
      <w:bookmarkEnd w:id="277"/>
      <w:bookmarkEnd w:id="278"/>
      <w:bookmarkEnd w:id="279"/>
      <w:bookmarkEnd w:id="280"/>
      <w:bookmarkEnd w:id="281"/>
      <w:bookmarkEnd w:id="282"/>
      <w:bookmarkEnd w:id="283"/>
    </w:p>
    <w:p>
      <w:pPr>
        <w:ind w:firstLine="640" w:firstLineChars="200"/>
        <w:rPr>
          <w:rFonts w:hint="eastAsia" w:ascii="??_GB2312" w:eastAsia="Times New Roman"/>
          <w:color w:val="000000" w:themeColor="text1"/>
          <w:sz w:val="32"/>
          <w:szCs w:val="32"/>
          <w14:textFill>
            <w14:solidFill>
              <w14:schemeClr w14:val="tx1"/>
            </w14:solidFill>
          </w14:textFill>
        </w:rPr>
      </w:pPr>
      <w:bookmarkStart w:id="284" w:name="_Toc18949"/>
      <w:bookmarkStart w:id="285" w:name="_Toc14906"/>
      <w:bookmarkStart w:id="286" w:name="_Toc20667"/>
      <w:bookmarkStart w:id="287" w:name="_Toc4062"/>
      <w:bookmarkStart w:id="288" w:name="_Toc9207"/>
      <w:bookmarkStart w:id="289" w:name="_Toc4591"/>
      <w:bookmarkStart w:id="290" w:name="_Toc21766"/>
      <w:r>
        <w:rPr>
          <w:rFonts w:hint="eastAsia" w:ascii="??_GB2312" w:eastAsia="Times New Roman"/>
          <w:color w:val="000000" w:themeColor="text1"/>
          <w:sz w:val="32"/>
          <w:szCs w:val="32"/>
          <w14:textFill>
            <w14:solidFill>
              <w14:schemeClr w14:val="tx1"/>
            </w14:solidFill>
          </w14:textFill>
        </w:rPr>
        <w:t>岗位资格条件要求完成住院医师规范化培训的，是指按照《住院医师规范化培训内容和标准（试行）》完成住院医师规范化培训内容并取得合格证书。</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岗位资格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报考者须于资格复核时提供岗位资格条件要求的规范化培训合格证书或证书主管部门出具的成绩单及是否通过考试的结论书面证明。</w:t>
      </w:r>
    </w:p>
    <w:bookmarkEnd w:id="284"/>
    <w:bookmarkEnd w:id="285"/>
    <w:bookmarkEnd w:id="286"/>
    <w:bookmarkEnd w:id="287"/>
    <w:bookmarkEnd w:id="288"/>
    <w:bookmarkEnd w:id="289"/>
    <w:bookmarkEnd w:id="290"/>
    <w:p>
      <w:pPr>
        <w:pStyle w:val="2"/>
        <w:rPr>
          <w:rFonts w:ascii="楷体" w:hAnsi="楷体" w:eastAsia="楷体" w:cs="楷体"/>
          <w:color w:val="000000" w:themeColor="text1"/>
          <w:sz w:val="32"/>
          <w:szCs w:val="32"/>
          <w14:textFill>
            <w14:solidFill>
              <w14:schemeClr w14:val="tx1"/>
            </w14:solidFill>
          </w14:textFill>
        </w:rPr>
      </w:pPr>
      <w:bookmarkStart w:id="291" w:name="_Toc14505"/>
      <w:bookmarkStart w:id="292" w:name="_Toc11834"/>
      <w:bookmarkStart w:id="293" w:name="_Toc6750"/>
      <w:bookmarkStart w:id="294" w:name="_Toc17019"/>
      <w:bookmarkStart w:id="295" w:name="_Toc2690"/>
      <w:bookmarkStart w:id="296" w:name="_Toc20567"/>
      <w:bookmarkStart w:id="297" w:name="_Toc26251"/>
      <w:bookmarkStart w:id="298" w:name="_Toc24201"/>
      <w:bookmarkStart w:id="299" w:name="_Toc32545"/>
      <w:bookmarkStart w:id="300" w:name="_（六）港澳台人员"/>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四</w:t>
      </w:r>
      <w:r>
        <w:rPr>
          <w:rFonts w:hint="eastAsia" w:ascii="楷体" w:hAnsi="楷体" w:eastAsia="楷体" w:cs="楷体"/>
          <w:color w:val="000000" w:themeColor="text1"/>
          <w:sz w:val="32"/>
          <w:szCs w:val="32"/>
          <w14:textFill>
            <w14:solidFill>
              <w14:schemeClr w14:val="tx1"/>
            </w14:solidFill>
          </w14:textFill>
        </w:rPr>
        <w:t>）港澳台人员</w:t>
      </w:r>
      <w:bookmarkEnd w:id="291"/>
      <w:bookmarkEnd w:id="292"/>
      <w:bookmarkEnd w:id="293"/>
      <w:bookmarkEnd w:id="294"/>
      <w:bookmarkEnd w:id="295"/>
      <w:bookmarkEnd w:id="296"/>
      <w:bookmarkEnd w:id="297"/>
      <w:bookmarkEnd w:id="298"/>
      <w:bookmarkEnd w:id="299"/>
    </w:p>
    <w:bookmarkEnd w:id="300"/>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港澳台人员（不得持有外国籍）的招聘，按照国家、福建省和厦门市有关规定办理。</w:t>
      </w:r>
    </w:p>
    <w:p>
      <w:pPr>
        <w:pStyle w:val="2"/>
        <w:rPr>
          <w:rFonts w:ascii="楷体" w:hAnsi="楷体" w:eastAsia="楷体" w:cs="楷体"/>
          <w:color w:val="000000" w:themeColor="text1"/>
          <w:sz w:val="32"/>
          <w:szCs w:val="32"/>
          <w14:textFill>
            <w14:solidFill>
              <w14:schemeClr w14:val="tx1"/>
            </w14:solidFill>
          </w14:textFill>
        </w:rPr>
      </w:pPr>
      <w:bookmarkStart w:id="301" w:name="_Toc1416"/>
      <w:bookmarkStart w:id="302" w:name="_Toc19159"/>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五</w:t>
      </w:r>
      <w:r>
        <w:rPr>
          <w:rFonts w:hint="eastAsia" w:ascii="楷体" w:hAnsi="楷体" w:eastAsia="楷体" w:cs="楷体"/>
          <w:color w:val="000000" w:themeColor="text1"/>
          <w:sz w:val="32"/>
          <w:szCs w:val="32"/>
          <w14:textFill>
            <w14:solidFill>
              <w14:schemeClr w14:val="tx1"/>
            </w14:solidFill>
          </w14:textFill>
        </w:rPr>
        <w:t>）技工院校毕业生</w:t>
      </w:r>
      <w:bookmarkEnd w:id="301"/>
      <w:bookmarkEnd w:id="302"/>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技工院校全日制高级工班、预备技师（技师）班毕业，</w:t>
      </w:r>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且毕业时已取得相应高级工、预备技师（技师）职业技能等级证书的，经</w:t>
      </w:r>
      <w:r>
        <w:rPr>
          <w:rFonts w:hint="eastAsia" w:ascii="??_GB2312" w:eastAsia="Times New Roman"/>
          <w:color w:val="000000" w:themeColor="text1"/>
          <w:sz w:val="32"/>
          <w:szCs w:val="32"/>
          <w:lang w:eastAsia="zh-CN"/>
          <w14:textFill>
            <w14:solidFill>
              <w14:schemeClr w14:val="tx1"/>
            </w14:solidFill>
          </w14:textFill>
        </w:rPr>
        <w:t>招</w:t>
      </w:r>
      <w:r>
        <w:rPr>
          <w:rFonts w:hint="eastAsia" w:ascii="??_GB2312" w:eastAsia="Times New Roman"/>
          <w:color w:val="000000" w:themeColor="text1"/>
          <w:sz w:val="32"/>
          <w:szCs w:val="32"/>
          <w14:textFill>
            <w14:solidFill>
              <w14:schemeClr w14:val="tx1"/>
            </w14:solidFill>
          </w14:textFill>
        </w:rPr>
        <w:t>聘单位及主管部门同意，可分别视同大专、本科学历，报考我市市、区属事业单位招聘岗位。</w:t>
      </w:r>
    </w:p>
    <w:p>
      <w:pPr>
        <w:pStyle w:val="2"/>
        <w:rPr>
          <w:rFonts w:ascii="黑体" w:hAnsi="黑体" w:eastAsia="黑体" w:cs="黑体"/>
          <w:color w:val="000000" w:themeColor="text1"/>
          <w:sz w:val="32"/>
          <w:szCs w:val="32"/>
          <w14:textFill>
            <w14:solidFill>
              <w14:schemeClr w14:val="tx1"/>
            </w14:solidFill>
          </w14:textFill>
        </w:rPr>
      </w:pPr>
      <w:bookmarkStart w:id="303" w:name="_Toc29924"/>
      <w:bookmarkStart w:id="304" w:name="_Toc2460"/>
      <w:bookmarkStart w:id="305" w:name="_Toc2095"/>
      <w:bookmarkStart w:id="306" w:name="_Toc4655"/>
      <w:bookmarkStart w:id="307" w:name="_Toc31670"/>
      <w:bookmarkStart w:id="308" w:name="_Toc17496"/>
      <w:bookmarkStart w:id="309" w:name="_Toc16887"/>
      <w:bookmarkStart w:id="310" w:name="_Toc8440"/>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、疫情防控要求</w:t>
      </w:r>
      <w:bookmarkEnd w:id="303"/>
      <w:bookmarkEnd w:id="304"/>
      <w:bookmarkEnd w:id="305"/>
      <w:bookmarkEnd w:id="306"/>
      <w:bookmarkEnd w:id="307"/>
      <w:bookmarkEnd w:id="308"/>
      <w:bookmarkEnd w:id="309"/>
      <w:bookmarkEnd w:id="310"/>
    </w:p>
    <w:p>
      <w:pPr>
        <w:ind w:firstLine="640" w:firstLineChars="200"/>
        <w:rPr>
          <w:rFonts w:hint="eastAsia" w:ascii="??_GB2312" w:eastAsia="Times New Roman"/>
          <w:color w:val="000000" w:themeColor="text1"/>
          <w:sz w:val="32"/>
          <w:szCs w:val="32"/>
          <w14:textFill>
            <w14:solidFill>
              <w14:schemeClr w14:val="tx1"/>
            </w14:solidFill>
          </w14:textFill>
        </w:rPr>
      </w:pPr>
      <w:r>
        <w:rPr>
          <w:rFonts w:hint="eastAsia" w:ascii="??_GB2312" w:eastAsia="Times New Roman"/>
          <w:color w:val="000000" w:themeColor="text1"/>
          <w:sz w:val="32"/>
          <w:szCs w:val="32"/>
          <w14:textFill>
            <w14:solidFill>
              <w14:schemeClr w14:val="tx1"/>
            </w14:solidFill>
          </w14:textFill>
        </w:rPr>
        <w:t>本次招聘工作在组织实施全过程中，将按照新冠肺炎疫情防控有关要求，严格落实防疫措施，必要时如须对有关考试安排进行适当调整，将及时在招考系统中公告。考生应认真落实常态化疫情防控措施，自觉承担防疫责任，及时关注考前须知，配合做好安全承诺，确保顺利应考。凡隐瞒或谎报旅居史、接触史、健康状况等疫情防控重点信息，不配合工作人员进行防疫检测、询问、排查等造成严重后果的，取消其考试（聘用）资格，如有违法行为，将依法追究其法律责任。</w:t>
      </w:r>
    </w:p>
    <w:p>
      <w:pPr>
        <w:rPr>
          <w:rFonts w:ascii="??_GB2312"/>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ind w:firstLine="640"/>
        <w:rPr>
          <w:rFonts w:hint="eastAsia" w:ascii="??_GB2312" w:eastAsia="Times New Roman"/>
          <w:color w:val="000000" w:themeColor="text1"/>
          <w:sz w:val="32"/>
          <w:szCs w:val="32"/>
          <w14:textFill>
            <w14:solidFill>
              <w14:schemeClr w14:val="tx1"/>
            </w14:solidFill>
          </w14:textFill>
        </w:rPr>
      </w:pPr>
    </w:p>
    <w:p>
      <w:pPr>
        <w:spacing w:line="360" w:lineRule="auto"/>
        <w:ind w:firstLine="5920" w:firstLineChars="1850"/>
        <w:rPr>
          <w:rFonts w:hint="eastAsia" w:ascii="??_GB2312" w:eastAsia="Times New Roman"/>
          <w:color w:val="000000" w:themeColor="text1"/>
          <w:sz w:val="32"/>
          <w:szCs w:val="32"/>
          <w14:textFill>
            <w14:solidFill>
              <w14:schemeClr w14:val="tx1"/>
            </w14:solidFill>
          </w14:textFill>
        </w:rPr>
      </w:pPr>
    </w:p>
    <w:sectPr>
      <w:footerReference r:id="rId4"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574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wps:spPr>
                    <wps:txbx>
                      <w:txbxContent>
                        <w:p>
                          <w:pPr>
                            <w:pStyle w:val="5"/>
                          </w:pPr>
                          <w:r>
                            <w:fldChar w:fldCharType="begin"/>
                          </w:r>
                          <w:r>
                            <w:instrText xml:space="preserve"> PAGE  \* MERGEFORMAT </w:instrText>
                          </w:r>
                          <w:r>
                            <w:fldChar w:fldCharType="separate"/>
                          </w:r>
                          <w:r>
                            <w:t>18</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G2kTh8UBAACLAwAADgAAAGRycy9lMm9Eb2MueG1srVPNjtMwEL4j&#10;8Q6W79RJ+VmImq5A1SIkBEgLD+A6dmPJf/K4TfoC8AacuHDnufocjJ20C8tlD1ycyczkm+/7xlld&#10;j9aQg4ygvWtpvagokU74TrtdS798vnnykhJI3HXceCdbepRAr9ePH62G0Mil773pZCQI4qAZQkv7&#10;lELDGIheWg4LH6TDovLR8oSvcce6yAdEt4Ytq+oFG3zsQvRCAmB2MxXpjBgfAuiV0kJuvNhb6dKE&#10;GqXhCSVBrwPQdWGrlBTpo1IgEzEtRaWpnDgE420+2XrFm13koddipsAfQuGeJsu1w6EXqA1PnOyj&#10;/gfKahE9eJUWwls2CSmOoIq6uufNbc+DLFrQaggX0+H/wYoPh0+R6A5vAiWOW1z46fu3049fp59f&#10;SZ3tGQI02HUbsC+Nb/yYW+c8YDKrHlW0+Yl6CNbR3OPFXDkmIjC5rJ5fPcOKwFL99NVVVcxndx+H&#10;COmt9JbkoKURd1cs5Yf3kHAgtp5b8iznb7QxZX/G/ZXAxpxhmfnEMEdp3I4z7a3vjqjGvHPoZL4V&#10;5yCeg+052Ieodz3SqQsXCK/3CQcXPhl1gpqH4Y4Kzfk+5Uvw53vpuvuH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Q/+QtIAAAADAQAADwAAAAAAAAABACAAAAAiAAAAZHJzL2Rvd25yZXYueG1s&#10;UEsBAhQAFAAAAAgAh07iQBtpE4fFAQAAiwMAAA4AAAAAAAAAAQAgAAAAIQ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6"/>
    <w:rsid w:val="00016772"/>
    <w:rsid w:val="00016CA4"/>
    <w:rsid w:val="0002071E"/>
    <w:rsid w:val="00027082"/>
    <w:rsid w:val="000303AD"/>
    <w:rsid w:val="0003041A"/>
    <w:rsid w:val="00042AC0"/>
    <w:rsid w:val="00050255"/>
    <w:rsid w:val="000622B6"/>
    <w:rsid w:val="00063A9C"/>
    <w:rsid w:val="00063AD5"/>
    <w:rsid w:val="00065CC8"/>
    <w:rsid w:val="00071CAD"/>
    <w:rsid w:val="0008184C"/>
    <w:rsid w:val="00093BC6"/>
    <w:rsid w:val="000955E7"/>
    <w:rsid w:val="0009674D"/>
    <w:rsid w:val="000A1B97"/>
    <w:rsid w:val="000A46C7"/>
    <w:rsid w:val="000B1950"/>
    <w:rsid w:val="000B7C44"/>
    <w:rsid w:val="000C1F4C"/>
    <w:rsid w:val="000C4C08"/>
    <w:rsid w:val="000D0986"/>
    <w:rsid w:val="000D726B"/>
    <w:rsid w:val="000E4363"/>
    <w:rsid w:val="000E50DB"/>
    <w:rsid w:val="000E59F3"/>
    <w:rsid w:val="000E64EA"/>
    <w:rsid w:val="000F528C"/>
    <w:rsid w:val="001005D9"/>
    <w:rsid w:val="00103DB7"/>
    <w:rsid w:val="001234FA"/>
    <w:rsid w:val="00124B0A"/>
    <w:rsid w:val="001272BE"/>
    <w:rsid w:val="001329AD"/>
    <w:rsid w:val="0013424A"/>
    <w:rsid w:val="00137BC5"/>
    <w:rsid w:val="00137D47"/>
    <w:rsid w:val="0014786A"/>
    <w:rsid w:val="001618A2"/>
    <w:rsid w:val="0016662B"/>
    <w:rsid w:val="00170E5A"/>
    <w:rsid w:val="0017342D"/>
    <w:rsid w:val="00175E5B"/>
    <w:rsid w:val="001819C6"/>
    <w:rsid w:val="0019120A"/>
    <w:rsid w:val="001A0706"/>
    <w:rsid w:val="001A6BBD"/>
    <w:rsid w:val="001A70DD"/>
    <w:rsid w:val="001B1D72"/>
    <w:rsid w:val="001B21A8"/>
    <w:rsid w:val="001B25C1"/>
    <w:rsid w:val="001B2FA4"/>
    <w:rsid w:val="001B680E"/>
    <w:rsid w:val="001B7D37"/>
    <w:rsid w:val="001D0820"/>
    <w:rsid w:val="001D4711"/>
    <w:rsid w:val="001E476C"/>
    <w:rsid w:val="001E6A5C"/>
    <w:rsid w:val="001F0653"/>
    <w:rsid w:val="001F0ED6"/>
    <w:rsid w:val="001F475F"/>
    <w:rsid w:val="001F7E2F"/>
    <w:rsid w:val="002061CD"/>
    <w:rsid w:val="0021215B"/>
    <w:rsid w:val="00213A6B"/>
    <w:rsid w:val="002245C5"/>
    <w:rsid w:val="00224E77"/>
    <w:rsid w:val="00231266"/>
    <w:rsid w:val="0023228B"/>
    <w:rsid w:val="00233B29"/>
    <w:rsid w:val="00235D5E"/>
    <w:rsid w:val="00235F2C"/>
    <w:rsid w:val="002666AA"/>
    <w:rsid w:val="0027223D"/>
    <w:rsid w:val="00282296"/>
    <w:rsid w:val="00283BE4"/>
    <w:rsid w:val="00283FFF"/>
    <w:rsid w:val="00290979"/>
    <w:rsid w:val="002922E9"/>
    <w:rsid w:val="002A3AE8"/>
    <w:rsid w:val="002A65E8"/>
    <w:rsid w:val="002B3A73"/>
    <w:rsid w:val="002B446A"/>
    <w:rsid w:val="002B5890"/>
    <w:rsid w:val="002C42C2"/>
    <w:rsid w:val="002C4507"/>
    <w:rsid w:val="002D0BA2"/>
    <w:rsid w:val="002D5793"/>
    <w:rsid w:val="002E072C"/>
    <w:rsid w:val="002E0CAD"/>
    <w:rsid w:val="002F1B7F"/>
    <w:rsid w:val="0030076C"/>
    <w:rsid w:val="00300F25"/>
    <w:rsid w:val="0030204A"/>
    <w:rsid w:val="0030661F"/>
    <w:rsid w:val="003067E5"/>
    <w:rsid w:val="00310D70"/>
    <w:rsid w:val="003154A1"/>
    <w:rsid w:val="00315EE3"/>
    <w:rsid w:val="00327AF8"/>
    <w:rsid w:val="00330915"/>
    <w:rsid w:val="0033348E"/>
    <w:rsid w:val="00335F99"/>
    <w:rsid w:val="00336D36"/>
    <w:rsid w:val="00337286"/>
    <w:rsid w:val="003410BE"/>
    <w:rsid w:val="00343557"/>
    <w:rsid w:val="00353D5B"/>
    <w:rsid w:val="0035642C"/>
    <w:rsid w:val="00382AD6"/>
    <w:rsid w:val="0039564C"/>
    <w:rsid w:val="003A0F44"/>
    <w:rsid w:val="003B1C99"/>
    <w:rsid w:val="003C24A4"/>
    <w:rsid w:val="003C38B7"/>
    <w:rsid w:val="003E083C"/>
    <w:rsid w:val="003E1F4E"/>
    <w:rsid w:val="003E3FEE"/>
    <w:rsid w:val="003E7241"/>
    <w:rsid w:val="003F4E37"/>
    <w:rsid w:val="00401E7B"/>
    <w:rsid w:val="00413DE3"/>
    <w:rsid w:val="00414A3A"/>
    <w:rsid w:val="0042671C"/>
    <w:rsid w:val="00427938"/>
    <w:rsid w:val="00434959"/>
    <w:rsid w:val="00436F26"/>
    <w:rsid w:val="004451E7"/>
    <w:rsid w:val="004556E8"/>
    <w:rsid w:val="00467060"/>
    <w:rsid w:val="004725EB"/>
    <w:rsid w:val="004930B3"/>
    <w:rsid w:val="00493F32"/>
    <w:rsid w:val="004A1B92"/>
    <w:rsid w:val="004A369B"/>
    <w:rsid w:val="004C0B30"/>
    <w:rsid w:val="004C1BA5"/>
    <w:rsid w:val="004E0D05"/>
    <w:rsid w:val="004E4CB6"/>
    <w:rsid w:val="004F1C6B"/>
    <w:rsid w:val="004F453D"/>
    <w:rsid w:val="004F7CB5"/>
    <w:rsid w:val="005060AB"/>
    <w:rsid w:val="00523A3B"/>
    <w:rsid w:val="0053129A"/>
    <w:rsid w:val="005323BC"/>
    <w:rsid w:val="00534DE3"/>
    <w:rsid w:val="00537166"/>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E0B2B"/>
    <w:rsid w:val="005E13F1"/>
    <w:rsid w:val="005F26ED"/>
    <w:rsid w:val="005F39A2"/>
    <w:rsid w:val="005F55D0"/>
    <w:rsid w:val="00602A83"/>
    <w:rsid w:val="006104A2"/>
    <w:rsid w:val="00614E71"/>
    <w:rsid w:val="00622817"/>
    <w:rsid w:val="00627B01"/>
    <w:rsid w:val="00637407"/>
    <w:rsid w:val="00641707"/>
    <w:rsid w:val="006423AD"/>
    <w:rsid w:val="00642F47"/>
    <w:rsid w:val="00650CF0"/>
    <w:rsid w:val="006536A4"/>
    <w:rsid w:val="00654EF4"/>
    <w:rsid w:val="00663E4F"/>
    <w:rsid w:val="006709C9"/>
    <w:rsid w:val="00671238"/>
    <w:rsid w:val="006877A7"/>
    <w:rsid w:val="00694C60"/>
    <w:rsid w:val="0069608C"/>
    <w:rsid w:val="0069650D"/>
    <w:rsid w:val="006975EC"/>
    <w:rsid w:val="006B167B"/>
    <w:rsid w:val="006B711D"/>
    <w:rsid w:val="006C2BFF"/>
    <w:rsid w:val="006C38DE"/>
    <w:rsid w:val="006D288A"/>
    <w:rsid w:val="006D2E75"/>
    <w:rsid w:val="006D3CAA"/>
    <w:rsid w:val="006D78FD"/>
    <w:rsid w:val="006E13DC"/>
    <w:rsid w:val="006E5748"/>
    <w:rsid w:val="006E606D"/>
    <w:rsid w:val="006F2E02"/>
    <w:rsid w:val="006F6D93"/>
    <w:rsid w:val="00713012"/>
    <w:rsid w:val="00717277"/>
    <w:rsid w:val="007279A8"/>
    <w:rsid w:val="00731ED0"/>
    <w:rsid w:val="00735FD8"/>
    <w:rsid w:val="0074225C"/>
    <w:rsid w:val="00742F6D"/>
    <w:rsid w:val="00742F9D"/>
    <w:rsid w:val="00746682"/>
    <w:rsid w:val="00750347"/>
    <w:rsid w:val="00756AB6"/>
    <w:rsid w:val="00775CCD"/>
    <w:rsid w:val="00787915"/>
    <w:rsid w:val="00795003"/>
    <w:rsid w:val="007A6434"/>
    <w:rsid w:val="007B321F"/>
    <w:rsid w:val="007C5614"/>
    <w:rsid w:val="007C56BB"/>
    <w:rsid w:val="007E348E"/>
    <w:rsid w:val="007F441D"/>
    <w:rsid w:val="007F740D"/>
    <w:rsid w:val="00805C84"/>
    <w:rsid w:val="00806068"/>
    <w:rsid w:val="00815EFD"/>
    <w:rsid w:val="008178C4"/>
    <w:rsid w:val="00817E69"/>
    <w:rsid w:val="0082264D"/>
    <w:rsid w:val="008257EF"/>
    <w:rsid w:val="00853AC5"/>
    <w:rsid w:val="00861707"/>
    <w:rsid w:val="008639DB"/>
    <w:rsid w:val="00864FF6"/>
    <w:rsid w:val="008659FF"/>
    <w:rsid w:val="0086689B"/>
    <w:rsid w:val="008674C4"/>
    <w:rsid w:val="00867ECC"/>
    <w:rsid w:val="00872C06"/>
    <w:rsid w:val="0087540B"/>
    <w:rsid w:val="00876D3C"/>
    <w:rsid w:val="0089017A"/>
    <w:rsid w:val="008915E7"/>
    <w:rsid w:val="0089650B"/>
    <w:rsid w:val="0089701A"/>
    <w:rsid w:val="008B14FE"/>
    <w:rsid w:val="008B2436"/>
    <w:rsid w:val="008B292B"/>
    <w:rsid w:val="008B4025"/>
    <w:rsid w:val="008B6243"/>
    <w:rsid w:val="008B7E7C"/>
    <w:rsid w:val="008C03BA"/>
    <w:rsid w:val="008C0DBD"/>
    <w:rsid w:val="008C52FB"/>
    <w:rsid w:val="008D045F"/>
    <w:rsid w:val="008D2B6F"/>
    <w:rsid w:val="008D2C3C"/>
    <w:rsid w:val="008D4B31"/>
    <w:rsid w:val="008E7452"/>
    <w:rsid w:val="00902FD2"/>
    <w:rsid w:val="00903312"/>
    <w:rsid w:val="00906754"/>
    <w:rsid w:val="0091057D"/>
    <w:rsid w:val="00926AAF"/>
    <w:rsid w:val="00934682"/>
    <w:rsid w:val="009353D5"/>
    <w:rsid w:val="009366ED"/>
    <w:rsid w:val="00940433"/>
    <w:rsid w:val="00940519"/>
    <w:rsid w:val="00943C10"/>
    <w:rsid w:val="00952852"/>
    <w:rsid w:val="009605A9"/>
    <w:rsid w:val="00970312"/>
    <w:rsid w:val="00970FC4"/>
    <w:rsid w:val="00974948"/>
    <w:rsid w:val="00975EDA"/>
    <w:rsid w:val="00980406"/>
    <w:rsid w:val="00982F1B"/>
    <w:rsid w:val="00985932"/>
    <w:rsid w:val="009A10CC"/>
    <w:rsid w:val="009A15F7"/>
    <w:rsid w:val="009B4412"/>
    <w:rsid w:val="009B45B4"/>
    <w:rsid w:val="009C20CB"/>
    <w:rsid w:val="009D2E8C"/>
    <w:rsid w:val="009D4F90"/>
    <w:rsid w:val="009E0871"/>
    <w:rsid w:val="009E344F"/>
    <w:rsid w:val="009F62A6"/>
    <w:rsid w:val="00A030A7"/>
    <w:rsid w:val="00A0472F"/>
    <w:rsid w:val="00A04E27"/>
    <w:rsid w:val="00A16F10"/>
    <w:rsid w:val="00A23FC6"/>
    <w:rsid w:val="00A34A24"/>
    <w:rsid w:val="00A40E79"/>
    <w:rsid w:val="00A456DD"/>
    <w:rsid w:val="00A503ED"/>
    <w:rsid w:val="00A53F6A"/>
    <w:rsid w:val="00A55BED"/>
    <w:rsid w:val="00A60A7B"/>
    <w:rsid w:val="00A62CDC"/>
    <w:rsid w:val="00A6598A"/>
    <w:rsid w:val="00A74E13"/>
    <w:rsid w:val="00A7526C"/>
    <w:rsid w:val="00A75719"/>
    <w:rsid w:val="00A807E0"/>
    <w:rsid w:val="00A82BDF"/>
    <w:rsid w:val="00A8342F"/>
    <w:rsid w:val="00A83B27"/>
    <w:rsid w:val="00A849AB"/>
    <w:rsid w:val="00A904C7"/>
    <w:rsid w:val="00A948E8"/>
    <w:rsid w:val="00A95078"/>
    <w:rsid w:val="00AA2BC0"/>
    <w:rsid w:val="00AA508C"/>
    <w:rsid w:val="00AA7955"/>
    <w:rsid w:val="00AB512B"/>
    <w:rsid w:val="00AC486E"/>
    <w:rsid w:val="00AD7E74"/>
    <w:rsid w:val="00AE0A8E"/>
    <w:rsid w:val="00AF3FD2"/>
    <w:rsid w:val="00AF62CA"/>
    <w:rsid w:val="00B14C0D"/>
    <w:rsid w:val="00B176C3"/>
    <w:rsid w:val="00B223C6"/>
    <w:rsid w:val="00B231D4"/>
    <w:rsid w:val="00B502F3"/>
    <w:rsid w:val="00B50654"/>
    <w:rsid w:val="00B644A4"/>
    <w:rsid w:val="00B6747B"/>
    <w:rsid w:val="00B74B4C"/>
    <w:rsid w:val="00BB16AC"/>
    <w:rsid w:val="00BB6ABB"/>
    <w:rsid w:val="00BC413D"/>
    <w:rsid w:val="00BC7E11"/>
    <w:rsid w:val="00BD264D"/>
    <w:rsid w:val="00BD7C06"/>
    <w:rsid w:val="00BE2004"/>
    <w:rsid w:val="00C069A1"/>
    <w:rsid w:val="00C22EDB"/>
    <w:rsid w:val="00C23360"/>
    <w:rsid w:val="00C3022A"/>
    <w:rsid w:val="00C371C1"/>
    <w:rsid w:val="00C40A12"/>
    <w:rsid w:val="00C43459"/>
    <w:rsid w:val="00C44EB4"/>
    <w:rsid w:val="00C5287C"/>
    <w:rsid w:val="00C53061"/>
    <w:rsid w:val="00C538DD"/>
    <w:rsid w:val="00C54AE4"/>
    <w:rsid w:val="00C63698"/>
    <w:rsid w:val="00C66011"/>
    <w:rsid w:val="00C72E6A"/>
    <w:rsid w:val="00C7572D"/>
    <w:rsid w:val="00C7597B"/>
    <w:rsid w:val="00C77156"/>
    <w:rsid w:val="00C861C8"/>
    <w:rsid w:val="00C87125"/>
    <w:rsid w:val="00C91756"/>
    <w:rsid w:val="00C91F01"/>
    <w:rsid w:val="00C921A2"/>
    <w:rsid w:val="00CA052B"/>
    <w:rsid w:val="00CA2187"/>
    <w:rsid w:val="00CA3A16"/>
    <w:rsid w:val="00CB1D6F"/>
    <w:rsid w:val="00CB78C4"/>
    <w:rsid w:val="00CC2E07"/>
    <w:rsid w:val="00CC5C4E"/>
    <w:rsid w:val="00CC6A71"/>
    <w:rsid w:val="00CF04B7"/>
    <w:rsid w:val="00CF232A"/>
    <w:rsid w:val="00CF5221"/>
    <w:rsid w:val="00D0114A"/>
    <w:rsid w:val="00D02341"/>
    <w:rsid w:val="00D064E1"/>
    <w:rsid w:val="00D11027"/>
    <w:rsid w:val="00D11554"/>
    <w:rsid w:val="00D16E5E"/>
    <w:rsid w:val="00D27558"/>
    <w:rsid w:val="00D366EF"/>
    <w:rsid w:val="00D46DD0"/>
    <w:rsid w:val="00D5758B"/>
    <w:rsid w:val="00D61798"/>
    <w:rsid w:val="00D651C8"/>
    <w:rsid w:val="00D6585B"/>
    <w:rsid w:val="00D708EB"/>
    <w:rsid w:val="00D7234D"/>
    <w:rsid w:val="00D815E9"/>
    <w:rsid w:val="00D85A93"/>
    <w:rsid w:val="00D85B51"/>
    <w:rsid w:val="00D863BB"/>
    <w:rsid w:val="00D962CC"/>
    <w:rsid w:val="00DA675E"/>
    <w:rsid w:val="00DA679F"/>
    <w:rsid w:val="00DB7F97"/>
    <w:rsid w:val="00DC069D"/>
    <w:rsid w:val="00DC41C8"/>
    <w:rsid w:val="00DC425F"/>
    <w:rsid w:val="00DD269A"/>
    <w:rsid w:val="00DD315A"/>
    <w:rsid w:val="00DD3580"/>
    <w:rsid w:val="00DD67B2"/>
    <w:rsid w:val="00DD6E1D"/>
    <w:rsid w:val="00DD748C"/>
    <w:rsid w:val="00DE3751"/>
    <w:rsid w:val="00DE7D52"/>
    <w:rsid w:val="00DF0916"/>
    <w:rsid w:val="00DF1454"/>
    <w:rsid w:val="00DF4420"/>
    <w:rsid w:val="00DF52DA"/>
    <w:rsid w:val="00E02B07"/>
    <w:rsid w:val="00E1052D"/>
    <w:rsid w:val="00E27ADE"/>
    <w:rsid w:val="00E27B98"/>
    <w:rsid w:val="00E33D99"/>
    <w:rsid w:val="00E4528F"/>
    <w:rsid w:val="00E45A46"/>
    <w:rsid w:val="00E501FF"/>
    <w:rsid w:val="00E50D91"/>
    <w:rsid w:val="00E5277F"/>
    <w:rsid w:val="00E76900"/>
    <w:rsid w:val="00E91FC9"/>
    <w:rsid w:val="00E946B6"/>
    <w:rsid w:val="00E96E59"/>
    <w:rsid w:val="00E96FF2"/>
    <w:rsid w:val="00EA0912"/>
    <w:rsid w:val="00EA102B"/>
    <w:rsid w:val="00EA1106"/>
    <w:rsid w:val="00EA1CEA"/>
    <w:rsid w:val="00EB546B"/>
    <w:rsid w:val="00EB5BDF"/>
    <w:rsid w:val="00ED19A0"/>
    <w:rsid w:val="00ED66A9"/>
    <w:rsid w:val="00EE114C"/>
    <w:rsid w:val="00EE218F"/>
    <w:rsid w:val="00EE38D0"/>
    <w:rsid w:val="00EE421E"/>
    <w:rsid w:val="00EE59C4"/>
    <w:rsid w:val="00EF4FE6"/>
    <w:rsid w:val="00F00DFB"/>
    <w:rsid w:val="00F0732D"/>
    <w:rsid w:val="00F12569"/>
    <w:rsid w:val="00F2205F"/>
    <w:rsid w:val="00F225B5"/>
    <w:rsid w:val="00F2547D"/>
    <w:rsid w:val="00F25E9F"/>
    <w:rsid w:val="00F3275E"/>
    <w:rsid w:val="00F41D69"/>
    <w:rsid w:val="00F426D3"/>
    <w:rsid w:val="00F47381"/>
    <w:rsid w:val="00F51527"/>
    <w:rsid w:val="00F73179"/>
    <w:rsid w:val="00F81C85"/>
    <w:rsid w:val="00F94C76"/>
    <w:rsid w:val="00FA12EC"/>
    <w:rsid w:val="00FA70EB"/>
    <w:rsid w:val="00FB5F9B"/>
    <w:rsid w:val="00FB6C7F"/>
    <w:rsid w:val="00FC02B3"/>
    <w:rsid w:val="00FC6BAC"/>
    <w:rsid w:val="00FD5A91"/>
    <w:rsid w:val="00FF3B7D"/>
    <w:rsid w:val="00FF5BC8"/>
    <w:rsid w:val="01EF1657"/>
    <w:rsid w:val="023C1BF0"/>
    <w:rsid w:val="03EB15DD"/>
    <w:rsid w:val="04B431B1"/>
    <w:rsid w:val="060D0DBE"/>
    <w:rsid w:val="0A843D59"/>
    <w:rsid w:val="0AD53F20"/>
    <w:rsid w:val="0C42075F"/>
    <w:rsid w:val="0C9537CF"/>
    <w:rsid w:val="0D546F93"/>
    <w:rsid w:val="0EFC1000"/>
    <w:rsid w:val="11D50F5D"/>
    <w:rsid w:val="127C59E8"/>
    <w:rsid w:val="15714F96"/>
    <w:rsid w:val="17DB48A0"/>
    <w:rsid w:val="187327BD"/>
    <w:rsid w:val="18DC4FBF"/>
    <w:rsid w:val="1A1E49AB"/>
    <w:rsid w:val="1B6D54B7"/>
    <w:rsid w:val="1BD718D3"/>
    <w:rsid w:val="1C611A5A"/>
    <w:rsid w:val="20D11DC7"/>
    <w:rsid w:val="2107136B"/>
    <w:rsid w:val="21CD6AB5"/>
    <w:rsid w:val="225B71D0"/>
    <w:rsid w:val="226678D9"/>
    <w:rsid w:val="242714D3"/>
    <w:rsid w:val="248C709C"/>
    <w:rsid w:val="28654F9C"/>
    <w:rsid w:val="29880EB6"/>
    <w:rsid w:val="2AB93EDB"/>
    <w:rsid w:val="2D146264"/>
    <w:rsid w:val="2D3D3232"/>
    <w:rsid w:val="2D991E1E"/>
    <w:rsid w:val="311E304C"/>
    <w:rsid w:val="32B440F3"/>
    <w:rsid w:val="330F1FC1"/>
    <w:rsid w:val="34171B12"/>
    <w:rsid w:val="36265082"/>
    <w:rsid w:val="36433543"/>
    <w:rsid w:val="39F33EB2"/>
    <w:rsid w:val="3BF309BA"/>
    <w:rsid w:val="3CA6751B"/>
    <w:rsid w:val="3CAA7142"/>
    <w:rsid w:val="3D5926B2"/>
    <w:rsid w:val="3E2B03B9"/>
    <w:rsid w:val="40983891"/>
    <w:rsid w:val="45830A4E"/>
    <w:rsid w:val="45C62D7A"/>
    <w:rsid w:val="47240519"/>
    <w:rsid w:val="480A64CC"/>
    <w:rsid w:val="486311F7"/>
    <w:rsid w:val="4A671659"/>
    <w:rsid w:val="4BE80A9E"/>
    <w:rsid w:val="4C102625"/>
    <w:rsid w:val="4D667BAF"/>
    <w:rsid w:val="4DA521E5"/>
    <w:rsid w:val="4DB86B62"/>
    <w:rsid w:val="4EC918D2"/>
    <w:rsid w:val="50F359ED"/>
    <w:rsid w:val="52A23189"/>
    <w:rsid w:val="52AF3FC8"/>
    <w:rsid w:val="53564D9D"/>
    <w:rsid w:val="54EC7875"/>
    <w:rsid w:val="54FD31CF"/>
    <w:rsid w:val="576F2D86"/>
    <w:rsid w:val="584318A0"/>
    <w:rsid w:val="591150F1"/>
    <w:rsid w:val="5A6B3694"/>
    <w:rsid w:val="5AAA10A0"/>
    <w:rsid w:val="5C976E58"/>
    <w:rsid w:val="61E23A6F"/>
    <w:rsid w:val="62412F49"/>
    <w:rsid w:val="624553E4"/>
    <w:rsid w:val="6276429E"/>
    <w:rsid w:val="62F4026E"/>
    <w:rsid w:val="65561D37"/>
    <w:rsid w:val="66AC3B0B"/>
    <w:rsid w:val="67306069"/>
    <w:rsid w:val="67587B68"/>
    <w:rsid w:val="6ABB6D6B"/>
    <w:rsid w:val="6AF56335"/>
    <w:rsid w:val="6B8A782C"/>
    <w:rsid w:val="6BE172C8"/>
    <w:rsid w:val="6CE41F3D"/>
    <w:rsid w:val="6D595D11"/>
    <w:rsid w:val="6D6F6871"/>
    <w:rsid w:val="6E3E253A"/>
    <w:rsid w:val="6F395B3C"/>
    <w:rsid w:val="6F47575B"/>
    <w:rsid w:val="6F535ACE"/>
    <w:rsid w:val="6FE76DC4"/>
    <w:rsid w:val="705733A9"/>
    <w:rsid w:val="705905D8"/>
    <w:rsid w:val="72931D35"/>
    <w:rsid w:val="73247101"/>
    <w:rsid w:val="74225F9B"/>
    <w:rsid w:val="746F7336"/>
    <w:rsid w:val="747852FC"/>
    <w:rsid w:val="77EC41DA"/>
    <w:rsid w:val="785B6B77"/>
    <w:rsid w:val="7A595755"/>
    <w:rsid w:val="7A8B782C"/>
    <w:rsid w:val="7DEF5723"/>
    <w:rsid w:val="7E9C6B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locked/>
    <w:uiPriority w:val="99"/>
    <w:pPr>
      <w:keepNext/>
      <w:keepLines/>
      <w:spacing w:line="576" w:lineRule="auto"/>
      <w:outlineLvl w:val="0"/>
    </w:pPr>
    <w:rPr>
      <w:b/>
      <w:kern w:val="44"/>
      <w:sz w:val="44"/>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qFormat/>
    <w:uiPriority w:val="99"/>
    <w:pPr>
      <w:jc w:val="left"/>
    </w:p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99"/>
  </w:style>
  <w:style w:type="paragraph" w:styleId="8">
    <w:name w:val="toc 2"/>
    <w:basedOn w:val="1"/>
    <w:next w:val="1"/>
    <w:qFormat/>
    <w:locked/>
    <w:uiPriority w:val="99"/>
    <w:pPr>
      <w:ind w:left="420" w:leftChars="200"/>
    </w:pPr>
  </w:style>
  <w:style w:type="character" w:styleId="11">
    <w:name w:val="Hyperlink"/>
    <w:basedOn w:val="10"/>
    <w:qFormat/>
    <w:uiPriority w:val="99"/>
    <w:rPr>
      <w:rFonts w:cs="Times New Roman"/>
      <w:color w:val="0000FF"/>
      <w:u w:val="single"/>
    </w:rPr>
  </w:style>
  <w:style w:type="character" w:styleId="12">
    <w:name w:val="annotation reference"/>
    <w:basedOn w:val="10"/>
    <w:semiHidden/>
    <w:qFormat/>
    <w:uiPriority w:val="99"/>
    <w:rPr>
      <w:rFonts w:cs="Times New Roman"/>
      <w:sz w:val="21"/>
      <w:szCs w:val="21"/>
    </w:rPr>
  </w:style>
  <w:style w:type="character" w:customStyle="1" w:styleId="13">
    <w:name w:val="Heading 1 Char"/>
    <w:basedOn w:val="10"/>
    <w:link w:val="2"/>
    <w:qFormat/>
    <w:locked/>
    <w:uiPriority w:val="99"/>
    <w:rPr>
      <w:rFonts w:ascii="Calibri" w:hAnsi="Calibri" w:cs="Times New Roman"/>
      <w:b/>
      <w:bCs/>
      <w:kern w:val="44"/>
      <w:sz w:val="44"/>
      <w:szCs w:val="44"/>
    </w:rPr>
  </w:style>
  <w:style w:type="character" w:customStyle="1" w:styleId="14">
    <w:name w:val="Comment Text Char"/>
    <w:basedOn w:val="10"/>
    <w:link w:val="3"/>
    <w:semiHidden/>
    <w:qFormat/>
    <w:locked/>
    <w:uiPriority w:val="99"/>
    <w:rPr>
      <w:rFonts w:ascii="Calibri" w:hAnsi="Calibri" w:cs="Times New Roman"/>
    </w:rPr>
  </w:style>
  <w:style w:type="character" w:customStyle="1" w:styleId="15">
    <w:name w:val="Balloon Text Char"/>
    <w:basedOn w:val="10"/>
    <w:link w:val="4"/>
    <w:semiHidden/>
    <w:qFormat/>
    <w:locked/>
    <w:uiPriority w:val="99"/>
    <w:rPr>
      <w:rFonts w:ascii="Calibri" w:hAnsi="Calibri" w:cs="Times New Roman"/>
      <w:sz w:val="2"/>
    </w:rPr>
  </w:style>
  <w:style w:type="character" w:customStyle="1" w:styleId="16">
    <w:name w:val="Footer Char"/>
    <w:basedOn w:val="10"/>
    <w:link w:val="5"/>
    <w:qFormat/>
    <w:locked/>
    <w:uiPriority w:val="99"/>
    <w:rPr>
      <w:rFonts w:cs="Times New Roman"/>
      <w:sz w:val="18"/>
      <w:szCs w:val="18"/>
    </w:rPr>
  </w:style>
  <w:style w:type="character" w:customStyle="1" w:styleId="17">
    <w:name w:val="Header Char"/>
    <w:basedOn w:val="10"/>
    <w:link w:val="6"/>
    <w:semiHidden/>
    <w:qFormat/>
    <w:locked/>
    <w:uiPriority w:val="99"/>
    <w:rPr>
      <w:rFonts w:cs="Times New Roman"/>
      <w:sz w:val="18"/>
      <w:szCs w:val="18"/>
    </w:rPr>
  </w:style>
  <w:style w:type="paragraph" w:customStyle="1" w:styleId="18">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9">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20">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1870</Words>
  <Characters>10664</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2021-04-07T04:42:00Z</dcterms:created>
  <dc:creator>dell</dc:creator>
  <cp:lastModifiedBy>天亮说晚安</cp:lastModifiedBy>
  <cp:lastPrinted>2021-04-08T23:44:00Z</cp:lastPrinted>
  <dcterms:modified xsi:type="dcterms:W3CDTF">2021-12-06T04:49:54Z</dcterms:modified>
  <dc:title>2019年秋季厦门市事业单位市、区联合招聘编内工作人员考试报考指南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B76595920CA14E5FA2C6ECDAA107408B</vt:lpwstr>
  </property>
</Properties>
</file>