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附件</w:t>
      </w:r>
      <w:r>
        <w:rPr>
          <w:rFonts w:hint="eastAsia" w:asciiTheme="minorEastAsia" w:hAnsiTheme="minorEastAsia" w:eastAsiaTheme="minorEastAsia"/>
          <w:sz w:val="32"/>
          <w:szCs w:val="32"/>
          <w:lang w:val="en-US" w:eastAsia="zh-CN"/>
        </w:rPr>
        <w:t>6</w:t>
      </w:r>
    </w:p>
    <w:p>
      <w:pPr>
        <w:spacing w:line="600" w:lineRule="exact"/>
        <w:jc w:val="center"/>
        <w:rPr>
          <w:rFonts w:hint="eastAsia"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412" w:firstLineChars="200"/>
        <w:rPr>
          <w:rFonts w:eastAsia="方正仿宋_GBK"/>
        </w:rPr>
      </w:pPr>
    </w:p>
    <w:p>
      <w:pPr>
        <w:spacing w:line="600" w:lineRule="exact"/>
        <w:ind w:firstLine="632" w:firstLineChars="200"/>
        <w:rPr>
          <w:rFonts w:eastAsia="方正仿宋_GBK"/>
          <w:sz w:val="32"/>
          <w:szCs w:val="32"/>
        </w:rPr>
      </w:pPr>
      <w:r>
        <w:rPr>
          <w:rFonts w:eastAsia="方正仿宋_GBK"/>
          <w:sz w:val="32"/>
          <w:szCs w:val="32"/>
        </w:rPr>
        <w:t>为规范</w:t>
      </w:r>
      <w:bookmarkStart w:id="0" w:name="_GoBack"/>
      <w:bookmarkEnd w:id="0"/>
      <w:r>
        <w:rPr>
          <w:rFonts w:eastAsia="方正仿宋_GBK"/>
          <w:sz w:val="32"/>
          <w:szCs w:val="32"/>
        </w:rPr>
        <w:t>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pPr>
        <w:spacing w:line="600" w:lineRule="exact"/>
        <w:ind w:firstLine="632" w:firstLineChars="200"/>
        <w:rPr>
          <w:rFonts w:hint="eastAsia" w:ascii="方正仿宋_GBK" w:eastAsia="方正仿宋_GBK"/>
          <w:sz w:val="32"/>
          <w:szCs w:val="32"/>
        </w:rPr>
      </w:pPr>
      <w:r>
        <w:rPr>
          <w:rFonts w:eastAsia="方正仿宋_GBK"/>
          <w:sz w:val="32"/>
          <w:szCs w:val="32"/>
        </w:rPr>
        <w:t>一、本《参考目录》参照教育部门的分类规则，根据公务员考试的性质，分为2</w:t>
      </w:r>
      <w:r>
        <w:rPr>
          <w:rFonts w:hint="eastAsia" w:ascii="方正仿宋_GBK" w:eastAsia="方正仿宋_GBK"/>
          <w:sz w:val="32"/>
          <w:szCs w:val="32"/>
        </w:rPr>
        <w:t>个“科别”</w:t>
      </w:r>
      <w:r>
        <w:rPr>
          <w:rFonts w:eastAsia="方正仿宋_GBK"/>
          <w:sz w:val="32"/>
          <w:szCs w:val="32"/>
        </w:rPr>
        <w:t>，12个</w:t>
      </w:r>
      <w:r>
        <w:rPr>
          <w:rFonts w:hint="eastAsia" w:ascii="方正仿宋_GBK" w:eastAsia="方正仿宋_GBK"/>
          <w:sz w:val="32"/>
          <w:szCs w:val="32"/>
        </w:rPr>
        <w:t>“学科门类”，</w:t>
      </w:r>
      <w:r>
        <w:rPr>
          <w:rFonts w:eastAsia="方正仿宋_GBK"/>
          <w:sz w:val="32"/>
          <w:szCs w:val="32"/>
        </w:rPr>
        <w:t>94个</w:t>
      </w:r>
      <w:r>
        <w:rPr>
          <w:rFonts w:hint="eastAsia" w:ascii="方正仿宋_GBK" w:eastAsia="方正仿宋_GBK"/>
          <w:sz w:val="32"/>
          <w:szCs w:val="32"/>
        </w:rPr>
        <w:t>“专业类”，并按学历层次分为若干具体专业名称。</w:t>
      </w:r>
    </w:p>
    <w:p>
      <w:pPr>
        <w:spacing w:line="600" w:lineRule="exact"/>
        <w:ind w:firstLine="632" w:firstLineChars="200"/>
        <w:rPr>
          <w:rFonts w:eastAsia="方正仿宋_GBK"/>
          <w:sz w:val="32"/>
          <w:szCs w:val="32"/>
        </w:rPr>
      </w:pPr>
      <w:r>
        <w:rPr>
          <w:rFonts w:eastAsia="方正仿宋_GBK"/>
          <w:sz w:val="32"/>
          <w:szCs w:val="32"/>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600" w:lineRule="exact"/>
        <w:ind w:firstLine="632" w:firstLineChars="200"/>
        <w:rPr>
          <w:rFonts w:eastAsia="方正仿宋_GBK"/>
          <w:sz w:val="32"/>
          <w:szCs w:val="32"/>
        </w:rPr>
      </w:pPr>
      <w:r>
        <w:rPr>
          <w:rFonts w:eastAsia="方正仿宋_GBK"/>
          <w:sz w:val="32"/>
          <w:szCs w:val="32"/>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600" w:lineRule="exact"/>
        <w:ind w:firstLine="632" w:firstLineChars="200"/>
        <w:rPr>
          <w:rFonts w:eastAsia="方正仿宋_GBK"/>
          <w:sz w:val="32"/>
          <w:szCs w:val="32"/>
        </w:rPr>
      </w:pPr>
      <w:r>
        <w:rPr>
          <w:rFonts w:eastAsia="方正仿宋_GBK"/>
          <w:sz w:val="32"/>
          <w:szCs w:val="32"/>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autoSpaceDE w:val="0"/>
        <w:autoSpaceDN w:val="0"/>
        <w:adjustRightInd w:val="0"/>
        <w:spacing w:line="560" w:lineRule="exact"/>
        <w:ind w:firstLine="632" w:firstLineChars="200"/>
        <w:rPr>
          <w:rFonts w:hint="eastAsia" w:eastAsia="方正仿宋_GBK"/>
          <w:sz w:val="32"/>
          <w:szCs w:val="32"/>
        </w:rPr>
      </w:pPr>
      <w:r>
        <w:rPr>
          <w:rFonts w:eastAsia="方正仿宋_GBK"/>
          <w:sz w:val="32"/>
          <w:szCs w:val="32"/>
        </w:rPr>
        <w:t>五、报考人员要严格执行诚信报考的有关规定，对于填报符合职位要求专业名称的虚假专业名称信息的，将按照诚信报考有关规定执行。</w:t>
      </w: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eastAsia="方正仿宋_GBK"/>
          <w:sz w:val="32"/>
          <w:szCs w:val="32"/>
        </w:rPr>
        <w:sectPr>
          <w:footerReference r:id="rId3" w:type="default"/>
          <w:footerReference r:id="rId4" w:type="even"/>
          <w:pgSz w:w="11906" w:h="16838"/>
          <w:pgMar w:top="1418" w:right="1588" w:bottom="1418" w:left="1588" w:header="1701" w:footer="1134" w:gutter="0"/>
          <w:cols w:space="425" w:num="1"/>
          <w:docGrid w:type="linesAndChars" w:linePitch="579" w:charSpace="-849"/>
        </w:sectPr>
      </w:pPr>
    </w:p>
    <w:tbl>
      <w:tblPr>
        <w:tblStyle w:val="3"/>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6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center"/>
      <w:rPr>
        <w:rFonts w:hint="eastAsia"/>
        <w:sz w:val="21"/>
      </w:rPr>
    </w:pPr>
    <w:r>
      <w:rPr>
        <w:rFonts w:hint="eastAsia" w:ascii="仿宋_GB2312"/>
        <w:sz w:val="28"/>
        <w:szCs w:val="28"/>
      </w:rPr>
      <w:t>-</w:t>
    </w:r>
    <w:r>
      <w:rPr>
        <w:rStyle w:val="5"/>
        <w:rFonts w:hint="eastAsia" w:ascii="仿宋_GB2312"/>
        <w:sz w:val="28"/>
        <w:szCs w:val="28"/>
      </w:rPr>
      <w:fldChar w:fldCharType="begin"/>
    </w:r>
    <w:r>
      <w:rPr>
        <w:rStyle w:val="5"/>
        <w:rFonts w:hint="eastAsia" w:ascii="仿宋_GB2312"/>
        <w:sz w:val="28"/>
        <w:szCs w:val="28"/>
      </w:rPr>
      <w:instrText xml:space="preserve"> PAGE </w:instrText>
    </w:r>
    <w:r>
      <w:rPr>
        <w:rStyle w:val="5"/>
        <w:rFonts w:hint="eastAsia" w:ascii="仿宋_GB2312"/>
        <w:sz w:val="28"/>
        <w:szCs w:val="28"/>
      </w:rPr>
      <w:fldChar w:fldCharType="separate"/>
    </w:r>
    <w:r>
      <w:rPr>
        <w:rStyle w:val="5"/>
        <w:rFonts w:ascii="仿宋_GB2312"/>
        <w:sz w:val="28"/>
        <w:szCs w:val="28"/>
      </w:rPr>
      <w:t>26</w:t>
    </w:r>
    <w:r>
      <w:rPr>
        <w:rStyle w:val="5"/>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5"/>
        <w:sz w:val="28"/>
      </w:rPr>
      <w:fldChar w:fldCharType="begin"/>
    </w:r>
    <w:r>
      <w:rPr>
        <w:rStyle w:val="5"/>
        <w:sz w:val="28"/>
      </w:rPr>
      <w:instrText xml:space="preserve"> PAGE </w:instrText>
    </w:r>
    <w:r>
      <w:rPr>
        <w:rStyle w:val="5"/>
        <w:sz w:val="28"/>
      </w:rPr>
      <w:fldChar w:fldCharType="separate"/>
    </w:r>
    <w:r>
      <w:rPr>
        <w:rStyle w:val="5"/>
        <w:sz w:val="28"/>
      </w:rPr>
      <w:t>2</w:t>
    </w:r>
    <w:r>
      <w:rPr>
        <w:rStyle w:val="5"/>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11564BC9"/>
    <w:rsid w:val="4FE24160"/>
    <w:rsid w:val="513D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character" w:styleId="5">
    <w:name w:val="page number"/>
    <w:basedOn w:val="4"/>
    <w:unhideWhenUsed/>
    <w:uiPriority w:val="0"/>
    <w:rPr>
      <w:rFonts w:ascii="Verdana" w:hAnsi="Verdana"/>
      <w:kern w:val="0"/>
      <w:sz w:val="24"/>
      <w:lang w:eastAsia="en-US"/>
    </w:rPr>
  </w:style>
  <w:style w:type="character" w:customStyle="1" w:styleId="6">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3357</Words>
  <Characters>19139</Characters>
  <Lines>159</Lines>
  <Paragraphs>44</Paragraphs>
  <TotalTime>7</TotalTime>
  <ScaleCrop>false</ScaleCrop>
  <LinksUpToDate>false</LinksUpToDate>
  <CharactersWithSpaces>22452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ASUS</cp:lastModifiedBy>
  <dcterms:modified xsi:type="dcterms:W3CDTF">2020-09-28T09:00:26Z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