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8A" w:rsidRDefault="00917597" w:rsidP="001777F7">
      <w:pPr>
        <w:spacing w:afterLines="50" w:line="6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“嘉陵江英才工程”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年度引才需求信息表</w:t>
      </w: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4"/>
        <w:gridCol w:w="1222"/>
        <w:gridCol w:w="718"/>
        <w:gridCol w:w="1276"/>
        <w:gridCol w:w="1842"/>
        <w:gridCol w:w="1276"/>
        <w:gridCol w:w="694"/>
        <w:gridCol w:w="1716"/>
        <w:gridCol w:w="992"/>
        <w:gridCol w:w="1010"/>
        <w:gridCol w:w="2101"/>
      </w:tblGrid>
      <w:tr w:rsidR="0092438A" w:rsidTr="001777F7">
        <w:trPr>
          <w:trHeight w:val="90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40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西南石油大学（南充）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ascii="黑体" w:eastAsia="黑体" w:hAnsi="黑体" w:cs="方正黑体简体"/>
                <w:color w:val="000000"/>
                <w:kern w:val="0"/>
                <w:sz w:val="24"/>
              </w:rPr>
            </w:pPr>
            <w:r w:rsidRPr="001777F7">
              <w:rPr>
                <w:rFonts w:ascii="黑体" w:eastAsia="黑体" w:hAnsi="黑体"/>
                <w:bCs/>
                <w:kern w:val="0"/>
                <w:sz w:val="24"/>
              </w:rPr>
              <w:t>单位类别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高等院校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1777F7">
              <w:rPr>
                <w:rFonts w:eastAsia="黑体" w:hAnsi="黑体"/>
                <w:bCs/>
                <w:kern w:val="0"/>
                <w:sz w:val="24"/>
              </w:rPr>
              <w:t>单位网址</w:t>
            </w:r>
          </w:p>
        </w:tc>
        <w:tc>
          <w:tcPr>
            <w:tcW w:w="2410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www.swpu.edu.cn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ascii="黑体" w:eastAsia="黑体" w:hAnsi="黑体" w:cs="方正黑体简体"/>
                <w:color w:val="000000"/>
                <w:kern w:val="0"/>
                <w:sz w:val="24"/>
              </w:rPr>
            </w:pPr>
            <w:r w:rsidRPr="001777F7">
              <w:rPr>
                <w:rFonts w:ascii="黑体" w:eastAsia="黑体" w:hAnsi="黑体"/>
                <w:bCs/>
                <w:kern w:val="0"/>
                <w:sz w:val="24"/>
              </w:rPr>
              <w:t>邮政编码</w:t>
            </w:r>
          </w:p>
        </w:tc>
        <w:tc>
          <w:tcPr>
            <w:tcW w:w="3111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637001</w:t>
            </w:r>
          </w:p>
        </w:tc>
      </w:tr>
      <w:tr w:rsidR="0092438A" w:rsidTr="001777F7">
        <w:trPr>
          <w:trHeight w:val="449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40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刘晓静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ascii="黑体" w:eastAsia="黑体" w:hAnsi="黑体" w:cs="方正黑体简体"/>
                <w:color w:val="000000"/>
                <w:kern w:val="0"/>
                <w:sz w:val="24"/>
              </w:rPr>
            </w:pPr>
            <w:r w:rsidRPr="001777F7">
              <w:rPr>
                <w:rFonts w:ascii="黑体" w:eastAsia="黑体" w:hAnsi="黑体"/>
                <w:bCs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0817-2641022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1777F7">
              <w:rPr>
                <w:rFonts w:eastAsia="黑体"/>
                <w:bCs/>
                <w:kern w:val="0"/>
                <w:sz w:val="24"/>
              </w:rPr>
              <w:t>E-mail</w:t>
            </w:r>
          </w:p>
        </w:tc>
        <w:tc>
          <w:tcPr>
            <w:tcW w:w="2410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ncdqb@swpu.edu.cn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ascii="黑体" w:eastAsia="黑体" w:hAnsi="黑体" w:cs="方正黑体简体"/>
                <w:color w:val="000000"/>
                <w:kern w:val="0"/>
                <w:sz w:val="24"/>
              </w:rPr>
            </w:pPr>
            <w:r w:rsidRPr="001777F7">
              <w:rPr>
                <w:rFonts w:ascii="黑体" w:eastAsia="黑体" w:hAnsi="黑体"/>
                <w:bCs/>
                <w:kern w:val="0"/>
                <w:sz w:val="24"/>
              </w:rPr>
              <w:t>通讯地址</w:t>
            </w:r>
          </w:p>
        </w:tc>
        <w:tc>
          <w:tcPr>
            <w:tcW w:w="3111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2438A">
            <w:pPr>
              <w:widowControl/>
              <w:spacing w:line="280" w:lineRule="exact"/>
              <w:jc w:val="center"/>
              <w:rPr>
                <w:rFonts w:eastAsia="方正楷体简体"/>
                <w:bCs/>
                <w:kern w:val="0"/>
                <w:sz w:val="24"/>
              </w:rPr>
            </w:pPr>
          </w:p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bCs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四川省南充市顺庆区</w:t>
            </w:r>
          </w:p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油院路二段</w:t>
            </w:r>
            <w:r>
              <w:rPr>
                <w:rFonts w:eastAsia="方正楷体简体"/>
                <w:bCs/>
                <w:kern w:val="0"/>
                <w:sz w:val="24"/>
              </w:rPr>
              <w:t>1</w:t>
            </w:r>
            <w:r>
              <w:rPr>
                <w:rFonts w:eastAsia="方正楷体简体"/>
                <w:bCs/>
                <w:kern w:val="0"/>
                <w:sz w:val="24"/>
              </w:rPr>
              <w:t>号</w:t>
            </w:r>
          </w:p>
        </w:tc>
      </w:tr>
      <w:tr w:rsidR="0092438A" w:rsidTr="001777F7">
        <w:trPr>
          <w:trHeight w:val="1505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单</w:t>
            </w: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位简介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</w:rPr>
              <w:t>（</w:t>
            </w:r>
            <w:r>
              <w:rPr>
                <w:rFonts w:eastAsia="方正楷体简体"/>
                <w:color w:val="000000"/>
                <w:spacing w:val="-6"/>
                <w:kern w:val="0"/>
                <w:sz w:val="24"/>
              </w:rPr>
              <w:t>200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spacing w:val="-6"/>
                <w:kern w:val="0"/>
                <w:sz w:val="24"/>
              </w:rPr>
              <w:t>字左右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847" w:type="dxa"/>
            <w:gridSpan w:val="10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 xml:space="preserve">  </w:t>
            </w:r>
            <w:r w:rsidR="001777F7">
              <w:rPr>
                <w:rFonts w:eastAsia="方正楷体简体" w:hint="eastAsia"/>
                <w:bCs/>
                <w:kern w:val="0"/>
                <w:sz w:val="24"/>
              </w:rPr>
              <w:t xml:space="preserve"> </w:t>
            </w:r>
            <w:r w:rsidR="001777F7" w:rsidRPr="001777F7">
              <w:rPr>
                <w:rFonts w:eastAsia="方正仿宋简体"/>
                <w:bCs/>
                <w:kern w:val="0"/>
                <w:sz w:val="24"/>
              </w:rPr>
              <w:t xml:space="preserve">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西南石油大学成立于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1958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年，是新中国创建的第二所石油本科院校。经过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60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余年的建设，现已发展成为一所以工为主、多学科协调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发展、石油天然气优势突出和特色鲜明的大学，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2017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年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9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月进入国家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首批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双一流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建设行列。学校分为成都、南充两个校区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，其中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南充校区是学校的发源地，校区占地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700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余亩，坐落在川北文化重镇南充市，东临嘉陵江，北与市政府毗邻，南融主城区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，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教学资源丰富，人文底蕴厚重，校园绿阴葱茏，山水相映，是著名的园林式单位。学校紧跟国家创新驱动发展战略和四川省高等教育发展规划，结合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百年名校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建设规划部署，实施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一校两区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、同频发展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战略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，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努力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把南充校区建设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成为具有明显工科特色的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高水平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本科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大学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，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实现再造一所西南石油大学的目标。</w:t>
            </w:r>
          </w:p>
        </w:tc>
      </w:tr>
      <w:tr w:rsidR="0092438A" w:rsidTr="001777F7">
        <w:trPr>
          <w:trHeight w:val="600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引进岗位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职务职称</w:t>
            </w:r>
          </w:p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学历学位</w:t>
            </w:r>
          </w:p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需求</w:t>
            </w:r>
          </w:p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引进</w:t>
            </w:r>
          </w:p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101" w:type="dxa"/>
            <w:tcMar>
              <w:top w:w="57" w:type="dxa"/>
              <w:bottom w:w="57" w:type="dxa"/>
            </w:tcMar>
            <w:vAlign w:val="center"/>
          </w:tcPr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提供薪酬、生活待</w:t>
            </w:r>
          </w:p>
          <w:p w:rsidR="0092438A" w:rsidRDefault="00917597">
            <w:pPr>
              <w:widowControl/>
              <w:spacing w:line="28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</w:rPr>
              <w:t>遇或其他优惠条件</w:t>
            </w:r>
          </w:p>
        </w:tc>
      </w:tr>
      <w:tr w:rsidR="0092438A" w:rsidRPr="001777F7" w:rsidTr="001777F7">
        <w:trPr>
          <w:trHeight w:val="833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计算机类教师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计算机科学与技术、</w:t>
            </w: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软件工程、网络工程、</w:t>
            </w: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控制科学与工程、设计学等学科及相关专业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2438A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2438A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 w:rsidP="001777F7">
            <w:pPr>
              <w:widowControl/>
              <w:spacing w:line="280" w:lineRule="exact"/>
              <w:ind w:firstLineChars="100" w:firstLine="236"/>
              <w:jc w:val="center"/>
              <w:rPr>
                <w:rFonts w:eastAsia="方正仿宋简体"/>
                <w:color w:val="FF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sz w:val="24"/>
                <w:shd w:val="clear" w:color="auto" w:fill="FFFFFF"/>
              </w:rPr>
              <w:t>8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tcMar>
              <w:top w:w="57" w:type="dxa"/>
              <w:bottom w:w="57" w:type="dxa"/>
            </w:tcMar>
            <w:vAlign w:val="center"/>
          </w:tcPr>
          <w:p w:rsidR="0092438A" w:rsidRPr="001777F7" w:rsidRDefault="00917597" w:rsidP="001777F7">
            <w:pPr>
              <w:spacing w:line="180" w:lineRule="exact"/>
              <w:jc w:val="left"/>
              <w:rPr>
                <w:rFonts w:eastAsia="方正仿宋简体"/>
                <w:bCs/>
                <w:kern w:val="0"/>
                <w:sz w:val="15"/>
                <w:szCs w:val="15"/>
              </w:rPr>
            </w:pP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1.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 xml:space="preserve"> 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符合条件的享受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嘉陵江英才工程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优惠政策。</w:t>
            </w:r>
          </w:p>
          <w:p w:rsidR="0092438A" w:rsidRPr="001777F7" w:rsidRDefault="00917597" w:rsidP="001777F7">
            <w:pPr>
              <w:spacing w:line="180" w:lineRule="exact"/>
              <w:jc w:val="left"/>
              <w:rPr>
                <w:rFonts w:eastAsia="方正仿宋简体"/>
                <w:bCs/>
                <w:kern w:val="0"/>
                <w:sz w:val="15"/>
                <w:szCs w:val="15"/>
              </w:rPr>
            </w:pP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2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.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学校给予安家费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10-80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万，可以项目申请方式获得科研启动经费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20-40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万，特殊情况另议。</w:t>
            </w:r>
          </w:p>
          <w:p w:rsidR="0092438A" w:rsidRPr="001777F7" w:rsidRDefault="00917597" w:rsidP="001777F7">
            <w:pPr>
              <w:spacing w:line="180" w:lineRule="exact"/>
              <w:jc w:val="left"/>
              <w:rPr>
                <w:rFonts w:eastAsia="方正仿宋简体"/>
                <w:bCs/>
                <w:kern w:val="0"/>
                <w:sz w:val="15"/>
                <w:szCs w:val="15"/>
              </w:rPr>
            </w:pP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3.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 xml:space="preserve"> 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可申请学校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过学术关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计划（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经费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8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-10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万元）、科研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启航计划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（经费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10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-15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万元）等资助项目。</w:t>
            </w:r>
          </w:p>
          <w:p w:rsidR="0092438A" w:rsidRPr="001777F7" w:rsidRDefault="00917597" w:rsidP="001777F7">
            <w:pPr>
              <w:spacing w:line="180" w:lineRule="exact"/>
              <w:jc w:val="left"/>
              <w:rPr>
                <w:rFonts w:eastAsia="方正仿宋简体"/>
                <w:bCs/>
                <w:kern w:val="0"/>
                <w:sz w:val="15"/>
                <w:szCs w:val="15"/>
              </w:rPr>
            </w:pP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4.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 xml:space="preserve"> 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学校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可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提供过渡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性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周转房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或住房补贴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。</w:t>
            </w:r>
          </w:p>
          <w:p w:rsidR="0092438A" w:rsidRPr="001777F7" w:rsidRDefault="00917597" w:rsidP="001777F7">
            <w:pPr>
              <w:widowControl/>
              <w:spacing w:line="1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5.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 xml:space="preserve"> </w:t>
            </w:r>
            <w:r w:rsidRPr="001777F7">
              <w:rPr>
                <w:rFonts w:eastAsia="方正仿宋简体"/>
                <w:bCs/>
                <w:kern w:val="0"/>
                <w:sz w:val="15"/>
                <w:szCs w:val="15"/>
              </w:rPr>
              <w:t>其他资助及待遇（如年薪制、项目工资制等）可协商约定。</w:t>
            </w: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电子信息类教师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电子科学与技术、信息与通信工程、控制科学与工程等学科及相关专业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1.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符合条件的享受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嘉陵江英才工程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优惠政策。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>2.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学校给予安家费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10-80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万，可以项目申请方式获得科研启动经费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20-40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万，特殊情况另议。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3.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可申请学校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过学术关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计划（经费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8-10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万元）、科研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启航计划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（经费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10-15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万元）等资助项目。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4.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学校可提供过渡性周转房或住房补贴。</w:t>
            </w:r>
          </w:p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5.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其他资助及待遇（如年薪制、项目工资制等）可协商约定。</w:t>
            </w: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电气工程类教师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电气工程、控制科学与工程等学科及相关专业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光电信息科学与工程专业教师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光学工程、电子科学与技术、控制科学与工程等学科及相关专业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动力工程类教师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动力工程及工程热物理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建筑类教师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FF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建筑环境与能源应用工程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材料化学专业教师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FF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材料物理与化学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材料科学与工程类教师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材料科学与工程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1254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土木工程类教师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思政类教师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马克思主义理论（马克思主义基本原理、马克思主义中国化研究、思想政治教育等方向）、中国史（中国近现代史等方向）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1.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符合条件的享受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嘉陵江英才工程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优惠政策。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>2.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学校给予安家费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10-80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万，可以项目申请方式获得科研启动经费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20-40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万，特殊情况另议。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3.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可申请学校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过学术关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计划（经费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8-10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万元）、科研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启航计划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（经费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10-15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万元）等资助项目。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4.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学校可提供过渡性周转房或住房补贴。</w:t>
            </w:r>
          </w:p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5.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其他资助及待遇（如年薪制、项目工资制等）可协商约定。</w:t>
            </w: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英语类教师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外国语言文学（英语语言文学、外国语言及应用语言学等方向）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2078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数学类教师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数学（基础数学、计算数学、概率论与数理统计、应用数学、运筹学与控制论、数学教育等方向）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体育教师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体育学（专项：篮球、足球、排球、乒乓球、羽毛球、网球、武术、体育舞蹈等）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军事教师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1777F7">
              <w:rPr>
                <w:rFonts w:eastAsia="方正仿宋简体"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color w:val="000000"/>
                <w:kern w:val="0"/>
                <w:sz w:val="24"/>
              </w:rPr>
            </w:pPr>
            <w:r w:rsidRPr="001777F7">
              <w:rPr>
                <w:rFonts w:eastAsia="方正楷体简体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>文化素质教师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>哲学、社会学、中国语言文学、历史学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1.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符合条件的享受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嘉陵江英才工程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优惠政策。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>2.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学校给予安家费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10-80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万，可以项目申请方式获得科研启动经费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20-40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万，特殊情况另议。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3.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可申请学校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过学术关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计划（经费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8-10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万元）、科研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“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启航计划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”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（经费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10-15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万元）等资助项目。</w:t>
            </w:r>
          </w:p>
          <w:p w:rsidR="001777F7" w:rsidRPr="001777F7" w:rsidRDefault="001777F7" w:rsidP="001777F7">
            <w:pPr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4.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学校可提供过渡性周转房或住房补贴。</w:t>
            </w:r>
          </w:p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bCs/>
                <w:kern w:val="0"/>
                <w:sz w:val="24"/>
              </w:rPr>
              <w:t xml:space="preserve">5. </w:t>
            </w:r>
            <w:r w:rsidRPr="001777F7">
              <w:rPr>
                <w:rFonts w:eastAsia="方正仿宋简体"/>
                <w:bCs/>
                <w:kern w:val="0"/>
                <w:sz w:val="24"/>
              </w:rPr>
              <w:t>其他资助及待遇（如年薪制、项目工资制等）可协商约定。</w:t>
            </w: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</w:rPr>
            </w:pPr>
            <w:r w:rsidRPr="001777F7">
              <w:rPr>
                <w:rFonts w:eastAsia="方正楷体简体"/>
                <w:kern w:val="0"/>
                <w:sz w:val="24"/>
              </w:rPr>
              <w:t>16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财务管理专业教师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工商管理类（含财务管理、会计学）、应用经济学类（含投资学、金融学）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3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</w:rPr>
            </w:pPr>
            <w:r w:rsidRPr="001777F7">
              <w:rPr>
                <w:rFonts w:eastAsia="方正楷体简体"/>
                <w:kern w:val="0"/>
                <w:sz w:val="24"/>
              </w:rPr>
              <w:t>17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酒店管理专业教师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旅游管理、工商管理、应用经济学类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3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1777F7" w:rsidRPr="001777F7" w:rsidTr="001777F7">
        <w:trPr>
          <w:trHeight w:val="397"/>
          <w:jc w:val="center"/>
        </w:trPr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</w:rPr>
            </w:pPr>
            <w:r w:rsidRPr="001777F7">
              <w:rPr>
                <w:rFonts w:eastAsia="方正楷体简体"/>
                <w:kern w:val="0"/>
                <w:sz w:val="24"/>
              </w:rPr>
              <w:t>18</w:t>
            </w:r>
          </w:p>
        </w:tc>
        <w:tc>
          <w:tcPr>
            <w:tcW w:w="122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公共事业管理专业教师</w:t>
            </w:r>
          </w:p>
        </w:tc>
        <w:tc>
          <w:tcPr>
            <w:tcW w:w="1994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公共管理类、工商管理类、管理科学与工程类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sz w:val="24"/>
                <w:shd w:val="clear" w:color="auto" w:fill="FFFFFF"/>
              </w:rPr>
            </w:pPr>
          </w:p>
        </w:tc>
        <w:tc>
          <w:tcPr>
            <w:tcW w:w="1970" w:type="dxa"/>
            <w:gridSpan w:val="2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博士研究生</w:t>
            </w:r>
          </w:p>
        </w:tc>
        <w:tc>
          <w:tcPr>
            <w:tcW w:w="1716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1777F7">
              <w:rPr>
                <w:rFonts w:eastAsia="方正仿宋简体"/>
                <w:kern w:val="0"/>
                <w:sz w:val="24"/>
              </w:rPr>
              <w:t>3</w:t>
            </w:r>
          </w:p>
        </w:tc>
        <w:tc>
          <w:tcPr>
            <w:tcW w:w="1010" w:type="dxa"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rPr>
                <w:rFonts w:eastAsia="方正仿宋简体"/>
                <w:color w:val="000000"/>
                <w:sz w:val="24"/>
                <w:shd w:val="clear" w:color="auto" w:fill="FFFFFF"/>
              </w:rPr>
            </w:pPr>
            <w:r w:rsidRPr="001777F7">
              <w:rPr>
                <w:rFonts w:eastAsia="方正仿宋简体"/>
                <w:color w:val="000000"/>
                <w:sz w:val="24"/>
                <w:shd w:val="clear" w:color="auto" w:fill="FFFFFF"/>
              </w:rPr>
              <w:t>编制内引进</w:t>
            </w:r>
          </w:p>
        </w:tc>
        <w:tc>
          <w:tcPr>
            <w:tcW w:w="2101" w:type="dxa"/>
            <w:vMerge/>
            <w:tcMar>
              <w:top w:w="57" w:type="dxa"/>
              <w:bottom w:w="57" w:type="dxa"/>
            </w:tcMar>
            <w:vAlign w:val="center"/>
          </w:tcPr>
          <w:p w:rsidR="001777F7" w:rsidRPr="001777F7" w:rsidRDefault="001777F7" w:rsidP="001777F7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</w:tbl>
    <w:p w:rsidR="0092438A" w:rsidRPr="001777F7" w:rsidRDefault="0092438A">
      <w:pPr>
        <w:widowControl/>
        <w:jc w:val="left"/>
        <w:rPr>
          <w:rFonts w:eastAsia="方正黑体简体"/>
          <w:color w:val="000000"/>
          <w:szCs w:val="32"/>
        </w:rPr>
      </w:pPr>
    </w:p>
    <w:sectPr w:rsidR="0092438A" w:rsidRPr="001777F7" w:rsidSect="0092438A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588" w:right="1956" w:bottom="1474" w:left="1899" w:header="851" w:footer="1588" w:gutter="0"/>
      <w:cols w:space="720"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97" w:rsidRDefault="00917597" w:rsidP="0092438A">
      <w:r>
        <w:separator/>
      </w:r>
    </w:p>
  </w:endnote>
  <w:endnote w:type="continuationSeparator" w:id="0">
    <w:p w:rsidR="00917597" w:rsidRDefault="00917597" w:rsidP="0092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8A" w:rsidRDefault="00917597">
    <w:pPr>
      <w:pStyle w:val="a4"/>
      <w:ind w:firstLineChars="100" w:firstLine="281"/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92438A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92438A">
      <w:rPr>
        <w:sz w:val="28"/>
        <w:szCs w:val="28"/>
      </w:rPr>
      <w:fldChar w:fldCharType="separate"/>
    </w:r>
    <w:r w:rsidR="001777F7">
      <w:rPr>
        <w:rStyle w:val="a7"/>
        <w:noProof/>
        <w:sz w:val="28"/>
        <w:szCs w:val="28"/>
      </w:rPr>
      <w:t>2</w:t>
    </w:r>
    <w:r w:rsidR="0092438A"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8A" w:rsidRDefault="00917597" w:rsidP="001777F7">
    <w:pPr>
      <w:pStyle w:val="a4"/>
      <w:ind w:rightChars="77" w:right="247"/>
      <w:jc w:val="right"/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92438A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92438A">
      <w:rPr>
        <w:sz w:val="28"/>
        <w:szCs w:val="28"/>
      </w:rPr>
      <w:fldChar w:fldCharType="separate"/>
    </w:r>
    <w:r w:rsidR="001777F7">
      <w:rPr>
        <w:rStyle w:val="a7"/>
        <w:noProof/>
        <w:sz w:val="28"/>
        <w:szCs w:val="28"/>
      </w:rPr>
      <w:t>1</w:t>
    </w:r>
    <w:r w:rsidR="0092438A"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97" w:rsidRDefault="00917597" w:rsidP="0092438A">
      <w:r>
        <w:separator/>
      </w:r>
    </w:p>
  </w:footnote>
  <w:footnote w:type="continuationSeparator" w:id="0">
    <w:p w:rsidR="00917597" w:rsidRDefault="00917597" w:rsidP="00924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8A" w:rsidRDefault="0092438A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8A" w:rsidRDefault="0092438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8F"/>
    <w:rsid w:val="00013E12"/>
    <w:rsid w:val="00027816"/>
    <w:rsid w:val="00041D3E"/>
    <w:rsid w:val="00053210"/>
    <w:rsid w:val="0007654F"/>
    <w:rsid w:val="00077310"/>
    <w:rsid w:val="00086244"/>
    <w:rsid w:val="000941E4"/>
    <w:rsid w:val="000A37CF"/>
    <w:rsid w:val="000A5D5F"/>
    <w:rsid w:val="000A6550"/>
    <w:rsid w:val="000B3C24"/>
    <w:rsid w:val="000B4157"/>
    <w:rsid w:val="000B4830"/>
    <w:rsid w:val="000C2756"/>
    <w:rsid w:val="000C4325"/>
    <w:rsid w:val="000D14E1"/>
    <w:rsid w:val="000D6FC4"/>
    <w:rsid w:val="000D769C"/>
    <w:rsid w:val="000E6879"/>
    <w:rsid w:val="000E7E06"/>
    <w:rsid w:val="000F2AB2"/>
    <w:rsid w:val="000F3467"/>
    <w:rsid w:val="0010387A"/>
    <w:rsid w:val="001113DA"/>
    <w:rsid w:val="00127390"/>
    <w:rsid w:val="001367F6"/>
    <w:rsid w:val="00157774"/>
    <w:rsid w:val="00171E11"/>
    <w:rsid w:val="001777F7"/>
    <w:rsid w:val="001819C6"/>
    <w:rsid w:val="001827DE"/>
    <w:rsid w:val="00184EBD"/>
    <w:rsid w:val="001A6338"/>
    <w:rsid w:val="001B2F9C"/>
    <w:rsid w:val="001B419E"/>
    <w:rsid w:val="001B6625"/>
    <w:rsid w:val="001C265A"/>
    <w:rsid w:val="001C5204"/>
    <w:rsid w:val="001D2E5B"/>
    <w:rsid w:val="001D369E"/>
    <w:rsid w:val="001D3A4A"/>
    <w:rsid w:val="001E6286"/>
    <w:rsid w:val="001E7C43"/>
    <w:rsid w:val="001F30C0"/>
    <w:rsid w:val="001F3745"/>
    <w:rsid w:val="002076D7"/>
    <w:rsid w:val="00225F8B"/>
    <w:rsid w:val="0023638F"/>
    <w:rsid w:val="00244621"/>
    <w:rsid w:val="00255819"/>
    <w:rsid w:val="00255829"/>
    <w:rsid w:val="00265C52"/>
    <w:rsid w:val="00283898"/>
    <w:rsid w:val="002A2925"/>
    <w:rsid w:val="002B7EF7"/>
    <w:rsid w:val="002C1663"/>
    <w:rsid w:val="002C2599"/>
    <w:rsid w:val="002C40CA"/>
    <w:rsid w:val="002C6DFB"/>
    <w:rsid w:val="002D35D7"/>
    <w:rsid w:val="002E51C4"/>
    <w:rsid w:val="003010EA"/>
    <w:rsid w:val="0032498F"/>
    <w:rsid w:val="00330329"/>
    <w:rsid w:val="00331EE0"/>
    <w:rsid w:val="00334D36"/>
    <w:rsid w:val="0034262D"/>
    <w:rsid w:val="00344500"/>
    <w:rsid w:val="00344ABC"/>
    <w:rsid w:val="00350089"/>
    <w:rsid w:val="00367D79"/>
    <w:rsid w:val="003744BA"/>
    <w:rsid w:val="00376D02"/>
    <w:rsid w:val="003B3525"/>
    <w:rsid w:val="003C63D0"/>
    <w:rsid w:val="003D1740"/>
    <w:rsid w:val="003D4344"/>
    <w:rsid w:val="003D6332"/>
    <w:rsid w:val="003F1988"/>
    <w:rsid w:val="004303E9"/>
    <w:rsid w:val="0043116D"/>
    <w:rsid w:val="00431BC9"/>
    <w:rsid w:val="00434148"/>
    <w:rsid w:val="004401BA"/>
    <w:rsid w:val="004417F9"/>
    <w:rsid w:val="004574C9"/>
    <w:rsid w:val="00486A6F"/>
    <w:rsid w:val="00497866"/>
    <w:rsid w:val="004A0B37"/>
    <w:rsid w:val="004A3916"/>
    <w:rsid w:val="004A51BF"/>
    <w:rsid w:val="004B273B"/>
    <w:rsid w:val="004C665D"/>
    <w:rsid w:val="004D3FF2"/>
    <w:rsid w:val="004E042E"/>
    <w:rsid w:val="004F7D1D"/>
    <w:rsid w:val="00504176"/>
    <w:rsid w:val="005047A2"/>
    <w:rsid w:val="00515ED8"/>
    <w:rsid w:val="00527104"/>
    <w:rsid w:val="00537B89"/>
    <w:rsid w:val="00551C4A"/>
    <w:rsid w:val="005771DF"/>
    <w:rsid w:val="005872A5"/>
    <w:rsid w:val="00591101"/>
    <w:rsid w:val="00594EA2"/>
    <w:rsid w:val="005A17E2"/>
    <w:rsid w:val="005B2910"/>
    <w:rsid w:val="005C7750"/>
    <w:rsid w:val="005D16E7"/>
    <w:rsid w:val="005E6579"/>
    <w:rsid w:val="005E6E05"/>
    <w:rsid w:val="005F2515"/>
    <w:rsid w:val="005F4D92"/>
    <w:rsid w:val="005F541F"/>
    <w:rsid w:val="005F6FEF"/>
    <w:rsid w:val="006357EF"/>
    <w:rsid w:val="00636C71"/>
    <w:rsid w:val="00653BB1"/>
    <w:rsid w:val="00683DF8"/>
    <w:rsid w:val="006859AE"/>
    <w:rsid w:val="00697543"/>
    <w:rsid w:val="006A69CB"/>
    <w:rsid w:val="006B1109"/>
    <w:rsid w:val="006B2156"/>
    <w:rsid w:val="006C2008"/>
    <w:rsid w:val="006C25C0"/>
    <w:rsid w:val="006D5A56"/>
    <w:rsid w:val="006D6416"/>
    <w:rsid w:val="006E0B14"/>
    <w:rsid w:val="006E1ABF"/>
    <w:rsid w:val="006E2075"/>
    <w:rsid w:val="006F6E80"/>
    <w:rsid w:val="007000AF"/>
    <w:rsid w:val="00710045"/>
    <w:rsid w:val="007169E7"/>
    <w:rsid w:val="007349FA"/>
    <w:rsid w:val="00743F7B"/>
    <w:rsid w:val="0074722F"/>
    <w:rsid w:val="00754DE6"/>
    <w:rsid w:val="007667CB"/>
    <w:rsid w:val="00787D48"/>
    <w:rsid w:val="00795D3F"/>
    <w:rsid w:val="007A5C04"/>
    <w:rsid w:val="007D4B14"/>
    <w:rsid w:val="007E220C"/>
    <w:rsid w:val="007F182A"/>
    <w:rsid w:val="00811755"/>
    <w:rsid w:val="00821BF5"/>
    <w:rsid w:val="008276AF"/>
    <w:rsid w:val="00833515"/>
    <w:rsid w:val="00846EFB"/>
    <w:rsid w:val="00854DB6"/>
    <w:rsid w:val="008567E9"/>
    <w:rsid w:val="00877BAA"/>
    <w:rsid w:val="00884500"/>
    <w:rsid w:val="00886D11"/>
    <w:rsid w:val="008A20B4"/>
    <w:rsid w:val="008A5706"/>
    <w:rsid w:val="008B186A"/>
    <w:rsid w:val="008B1A62"/>
    <w:rsid w:val="008D0CC0"/>
    <w:rsid w:val="008F2492"/>
    <w:rsid w:val="00914F52"/>
    <w:rsid w:val="00917490"/>
    <w:rsid w:val="00917597"/>
    <w:rsid w:val="00920F61"/>
    <w:rsid w:val="0092438A"/>
    <w:rsid w:val="00930355"/>
    <w:rsid w:val="00944768"/>
    <w:rsid w:val="0095129D"/>
    <w:rsid w:val="00965767"/>
    <w:rsid w:val="00966302"/>
    <w:rsid w:val="009712E1"/>
    <w:rsid w:val="00976580"/>
    <w:rsid w:val="00993E7B"/>
    <w:rsid w:val="009A7E7A"/>
    <w:rsid w:val="009B3616"/>
    <w:rsid w:val="009B43ED"/>
    <w:rsid w:val="009B6A68"/>
    <w:rsid w:val="009C17F2"/>
    <w:rsid w:val="009D128C"/>
    <w:rsid w:val="009D2F18"/>
    <w:rsid w:val="009D321F"/>
    <w:rsid w:val="009D401E"/>
    <w:rsid w:val="009E59D4"/>
    <w:rsid w:val="009F045E"/>
    <w:rsid w:val="009F7B49"/>
    <w:rsid w:val="00A00DC5"/>
    <w:rsid w:val="00A130C8"/>
    <w:rsid w:val="00A17142"/>
    <w:rsid w:val="00A25A13"/>
    <w:rsid w:val="00A26F25"/>
    <w:rsid w:val="00A36C18"/>
    <w:rsid w:val="00A43820"/>
    <w:rsid w:val="00A60955"/>
    <w:rsid w:val="00A762EC"/>
    <w:rsid w:val="00A82A58"/>
    <w:rsid w:val="00A84883"/>
    <w:rsid w:val="00A906F1"/>
    <w:rsid w:val="00AA4518"/>
    <w:rsid w:val="00AC48FC"/>
    <w:rsid w:val="00AC7992"/>
    <w:rsid w:val="00AD52DA"/>
    <w:rsid w:val="00AD5B55"/>
    <w:rsid w:val="00AD7041"/>
    <w:rsid w:val="00AE3B19"/>
    <w:rsid w:val="00AF001C"/>
    <w:rsid w:val="00AF1F84"/>
    <w:rsid w:val="00AF6FF1"/>
    <w:rsid w:val="00B0368C"/>
    <w:rsid w:val="00B03F4F"/>
    <w:rsid w:val="00B0559F"/>
    <w:rsid w:val="00B05DF5"/>
    <w:rsid w:val="00B17B9B"/>
    <w:rsid w:val="00B27582"/>
    <w:rsid w:val="00B36163"/>
    <w:rsid w:val="00B37DBB"/>
    <w:rsid w:val="00B416CB"/>
    <w:rsid w:val="00B509A8"/>
    <w:rsid w:val="00B55307"/>
    <w:rsid w:val="00B748CF"/>
    <w:rsid w:val="00B77F7E"/>
    <w:rsid w:val="00B829E2"/>
    <w:rsid w:val="00BA6504"/>
    <w:rsid w:val="00BB5BE9"/>
    <w:rsid w:val="00BD5C82"/>
    <w:rsid w:val="00BE4D7A"/>
    <w:rsid w:val="00BF0EFD"/>
    <w:rsid w:val="00BF16B5"/>
    <w:rsid w:val="00BF208A"/>
    <w:rsid w:val="00BF65F8"/>
    <w:rsid w:val="00C06A94"/>
    <w:rsid w:val="00C07E80"/>
    <w:rsid w:val="00C25752"/>
    <w:rsid w:val="00C302B4"/>
    <w:rsid w:val="00C306E2"/>
    <w:rsid w:val="00C3736B"/>
    <w:rsid w:val="00C41CBC"/>
    <w:rsid w:val="00C41D0F"/>
    <w:rsid w:val="00C51F11"/>
    <w:rsid w:val="00C53554"/>
    <w:rsid w:val="00C639AE"/>
    <w:rsid w:val="00C704A6"/>
    <w:rsid w:val="00C87598"/>
    <w:rsid w:val="00C92EF8"/>
    <w:rsid w:val="00CA2995"/>
    <w:rsid w:val="00CA312E"/>
    <w:rsid w:val="00CA7EAC"/>
    <w:rsid w:val="00CC0C8D"/>
    <w:rsid w:val="00CD529D"/>
    <w:rsid w:val="00CE135B"/>
    <w:rsid w:val="00CE1D78"/>
    <w:rsid w:val="00CE2509"/>
    <w:rsid w:val="00CF102F"/>
    <w:rsid w:val="00D00055"/>
    <w:rsid w:val="00D0190A"/>
    <w:rsid w:val="00D25EAB"/>
    <w:rsid w:val="00D26A84"/>
    <w:rsid w:val="00D2735A"/>
    <w:rsid w:val="00D4618E"/>
    <w:rsid w:val="00D46452"/>
    <w:rsid w:val="00D51ACC"/>
    <w:rsid w:val="00D54AA3"/>
    <w:rsid w:val="00D576D4"/>
    <w:rsid w:val="00D70AA8"/>
    <w:rsid w:val="00D70E7E"/>
    <w:rsid w:val="00D83E02"/>
    <w:rsid w:val="00D85073"/>
    <w:rsid w:val="00D86845"/>
    <w:rsid w:val="00D8730B"/>
    <w:rsid w:val="00D929B6"/>
    <w:rsid w:val="00D961F1"/>
    <w:rsid w:val="00DB6966"/>
    <w:rsid w:val="00DC0D25"/>
    <w:rsid w:val="00DC6A34"/>
    <w:rsid w:val="00DD76F4"/>
    <w:rsid w:val="00DF2856"/>
    <w:rsid w:val="00DF2B0B"/>
    <w:rsid w:val="00DF3809"/>
    <w:rsid w:val="00DF3DE2"/>
    <w:rsid w:val="00E0513D"/>
    <w:rsid w:val="00E07BBC"/>
    <w:rsid w:val="00E12EEE"/>
    <w:rsid w:val="00E16807"/>
    <w:rsid w:val="00E27480"/>
    <w:rsid w:val="00E27859"/>
    <w:rsid w:val="00E27F49"/>
    <w:rsid w:val="00E3456B"/>
    <w:rsid w:val="00E56453"/>
    <w:rsid w:val="00E62D61"/>
    <w:rsid w:val="00E636E0"/>
    <w:rsid w:val="00E81297"/>
    <w:rsid w:val="00E82E32"/>
    <w:rsid w:val="00E843A7"/>
    <w:rsid w:val="00E93D7F"/>
    <w:rsid w:val="00E97173"/>
    <w:rsid w:val="00EA31C9"/>
    <w:rsid w:val="00EB05E6"/>
    <w:rsid w:val="00EB6289"/>
    <w:rsid w:val="00ED0AF9"/>
    <w:rsid w:val="00ED201F"/>
    <w:rsid w:val="00EE17F8"/>
    <w:rsid w:val="00EF20F7"/>
    <w:rsid w:val="00F42C91"/>
    <w:rsid w:val="00F507B7"/>
    <w:rsid w:val="00F61B33"/>
    <w:rsid w:val="00F643C8"/>
    <w:rsid w:val="00F7046B"/>
    <w:rsid w:val="00F81C30"/>
    <w:rsid w:val="00FA2F72"/>
    <w:rsid w:val="00FC6614"/>
    <w:rsid w:val="00FE25D4"/>
    <w:rsid w:val="033D29E6"/>
    <w:rsid w:val="03F31757"/>
    <w:rsid w:val="04152943"/>
    <w:rsid w:val="050C7908"/>
    <w:rsid w:val="08371BA8"/>
    <w:rsid w:val="0C223226"/>
    <w:rsid w:val="10F463D0"/>
    <w:rsid w:val="13AE6789"/>
    <w:rsid w:val="2392173A"/>
    <w:rsid w:val="287A19B2"/>
    <w:rsid w:val="29713916"/>
    <w:rsid w:val="37276AD0"/>
    <w:rsid w:val="39E10AC6"/>
    <w:rsid w:val="456A20A7"/>
    <w:rsid w:val="5126247F"/>
    <w:rsid w:val="51530453"/>
    <w:rsid w:val="55834122"/>
    <w:rsid w:val="58E8492E"/>
    <w:rsid w:val="5BC8795B"/>
    <w:rsid w:val="5DC43D04"/>
    <w:rsid w:val="5EFF7C73"/>
    <w:rsid w:val="678D180D"/>
    <w:rsid w:val="692421D8"/>
    <w:rsid w:val="6C677A3A"/>
    <w:rsid w:val="6DE208D1"/>
    <w:rsid w:val="73AE714C"/>
    <w:rsid w:val="790B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38A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3">
    <w:name w:val="heading 3"/>
    <w:basedOn w:val="a"/>
    <w:next w:val="a"/>
    <w:qFormat/>
    <w:rsid w:val="0092438A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2438A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924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2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24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92438A"/>
  </w:style>
  <w:style w:type="character" w:styleId="a8">
    <w:name w:val="Hyperlink"/>
    <w:basedOn w:val="a0"/>
    <w:qFormat/>
    <w:rsid w:val="0092438A"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sid w:val="0092438A"/>
    <w:rPr>
      <w:rFonts w:eastAsia="仿宋_GB2312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327</Words>
  <Characters>1864</Characters>
  <Application>Microsoft Office Word</Application>
  <DocSecurity>0</DocSecurity>
  <Lines>15</Lines>
  <Paragraphs>4</Paragraphs>
  <ScaleCrop>false</ScaleCrop>
  <Company>user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Administrator</cp:lastModifiedBy>
  <cp:revision>3</cp:revision>
  <cp:lastPrinted>2021-07-28T09:13:00Z</cp:lastPrinted>
  <dcterms:created xsi:type="dcterms:W3CDTF">2021-08-26T03:49:00Z</dcterms:created>
  <dcterms:modified xsi:type="dcterms:W3CDTF">2021-12-30T07:24:00Z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A0CEACF55AF44D84811EE55A3FFAA754</vt:lpwstr>
  </property>
</Properties>
</file>