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D2E5" w14:textId="77777777" w:rsidR="00566F82" w:rsidRPr="0037023F" w:rsidRDefault="00566F82" w:rsidP="00566F82">
      <w:pPr>
        <w:widowControl/>
        <w:spacing w:line="360" w:lineRule="auto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Pr="0037023F">
        <w:rPr>
          <w:rFonts w:ascii="仿宋_GB2312" w:eastAsia="仿宋_GB2312" w:hAnsi="楷体" w:cs="仿宋_GB2312"/>
          <w:color w:val="000000"/>
          <w:kern w:val="0"/>
          <w:sz w:val="28"/>
          <w:szCs w:val="28"/>
        </w:rPr>
        <w:t>2</w:t>
      </w:r>
    </w:p>
    <w:p w14:paraId="39C54B39" w14:textId="77777777" w:rsidR="00566F82" w:rsidRPr="0050678A" w:rsidRDefault="00566F82" w:rsidP="00566F82">
      <w:pPr>
        <w:widowControl/>
        <w:spacing w:line="360" w:lineRule="auto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50678A">
        <w:rPr>
          <w:rFonts w:ascii="华文中宋" w:eastAsia="华文中宋" w:hAnsi="华文中宋" w:cs="仿宋_GB2312" w:hint="eastAsia"/>
          <w:bCs/>
          <w:sz w:val="44"/>
          <w:szCs w:val="44"/>
        </w:rPr>
        <w:t>在线支付银行列表</w:t>
      </w:r>
    </w:p>
    <w:p w14:paraId="60E38DBE" w14:textId="77777777" w:rsidR="00566F82" w:rsidRPr="0037023F" w:rsidRDefault="00566F82" w:rsidP="00566F82">
      <w:pPr>
        <w:widowControl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32"/>
        <w:tblOverlap w:val="never"/>
        <w:tblW w:w="750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2971"/>
        <w:gridCol w:w="782"/>
        <w:gridCol w:w="2971"/>
      </w:tblGrid>
      <w:tr w:rsidR="00566F82" w:rsidRPr="0037023F" w14:paraId="251F1FD7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14C1892B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5FB7F39C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2F09A255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1FA5579F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tr w:rsidR="00566F82" w:rsidRPr="0037023F" w14:paraId="4E011678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361553F9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6B433B44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支付宝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0D45884E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3F8AE1B1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华夏银行</w:t>
            </w:r>
          </w:p>
        </w:tc>
      </w:tr>
      <w:tr w:rsidR="00566F82" w:rsidRPr="0037023F" w14:paraId="2CB533AA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1AC7EB43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029931E0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招商银行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4A1B0B42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0A8BB541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交通银行</w:t>
            </w:r>
          </w:p>
        </w:tc>
      </w:tr>
      <w:tr w:rsidR="00566F82" w:rsidRPr="0037023F" w14:paraId="24E9B556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3E8BCB50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14038BA4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建设银行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6710C24E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08FB1F3A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浦发银行</w:t>
            </w:r>
          </w:p>
        </w:tc>
      </w:tr>
      <w:tr w:rsidR="00566F82" w:rsidRPr="0037023F" w14:paraId="175EF867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34DE5FBC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520B91AD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工商银行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20E086A5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609A37E3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光大银行</w:t>
            </w:r>
          </w:p>
        </w:tc>
      </w:tr>
      <w:tr w:rsidR="00566F82" w:rsidRPr="0037023F" w14:paraId="068AE065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316C4157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211369BE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平安银行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00CC6E47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3DAF3B83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北京农村商业银行</w:t>
            </w:r>
          </w:p>
        </w:tc>
      </w:tr>
      <w:tr w:rsidR="00566F82" w:rsidRPr="0037023F" w14:paraId="457D76D5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18CF2C6E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5EE8321B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民生银行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0CD70DDA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313B2815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渤海银行</w:t>
            </w:r>
          </w:p>
        </w:tc>
      </w:tr>
      <w:tr w:rsidR="00566F82" w:rsidRPr="0037023F" w14:paraId="1336E3C3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7944B4F9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5BDFAE5D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兴业银行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2F311402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08D94BA0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中信银行</w:t>
            </w:r>
          </w:p>
        </w:tc>
      </w:tr>
      <w:tr w:rsidR="00566F82" w:rsidRPr="0037023F" w14:paraId="087F409E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3BCC70E1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2D1334B1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农业银行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54D932AE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2B7A28E2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中国银行</w:t>
            </w:r>
          </w:p>
        </w:tc>
      </w:tr>
      <w:tr w:rsidR="00566F82" w:rsidRPr="0037023F" w14:paraId="60857D46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14DEB110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3E3B671D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广东发展银行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07EF9523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0D390BC7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上海银行</w:t>
            </w:r>
          </w:p>
        </w:tc>
      </w:tr>
      <w:tr w:rsidR="00566F82" w:rsidRPr="0037023F" w14:paraId="2FB2D2A2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7C23D82B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0628DF7D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北京银行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6912673E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020FB581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银联支付</w:t>
            </w:r>
          </w:p>
        </w:tc>
      </w:tr>
      <w:tr w:rsidR="00566F82" w:rsidRPr="0037023F" w14:paraId="47EAD532" w14:textId="77777777" w:rsidTr="00293E17">
        <w:trPr>
          <w:trHeight w:hRule="exact" w:val="851"/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14:paraId="7A47503D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1CDE3EA1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邮政银行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14:paraId="151573BE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14:paraId="7305FDE9" w14:textId="77777777"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701BB41" w14:textId="77777777" w:rsidR="00566F82" w:rsidRPr="0037023F" w:rsidRDefault="00566F82" w:rsidP="00566F82">
      <w:pPr>
        <w:widowControl/>
        <w:spacing w:line="360" w:lineRule="auto"/>
        <w:rPr>
          <w:rFonts w:ascii="仿宋_GB2312" w:eastAsia="仿宋_GB2312" w:hAnsi="楷体"/>
          <w:kern w:val="0"/>
          <w:sz w:val="28"/>
          <w:szCs w:val="28"/>
        </w:rPr>
      </w:pPr>
    </w:p>
    <w:p w14:paraId="38796928" w14:textId="77777777" w:rsidR="00566F82" w:rsidRDefault="00566F82" w:rsidP="00566F82">
      <w:pPr>
        <w:widowControl/>
        <w:spacing w:line="360" w:lineRule="auto"/>
        <w:rPr>
          <w:rFonts w:ascii="仿宋_GB2312" w:eastAsia="仿宋_GB2312"/>
        </w:rPr>
      </w:pPr>
    </w:p>
    <w:p w14:paraId="24C3F462" w14:textId="77777777" w:rsidR="006230FD" w:rsidRDefault="006230FD"/>
    <w:sectPr w:rsidR="006230FD" w:rsidSect="009635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C11C" w14:textId="77777777" w:rsidR="008B18DE" w:rsidRDefault="008B18DE" w:rsidP="00293E17">
      <w:r>
        <w:separator/>
      </w:r>
    </w:p>
  </w:endnote>
  <w:endnote w:type="continuationSeparator" w:id="0">
    <w:p w14:paraId="08CC8E3C" w14:textId="77777777" w:rsidR="008B18DE" w:rsidRDefault="008B18DE" w:rsidP="0029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FE37" w14:textId="77777777" w:rsidR="008B18DE" w:rsidRDefault="008B18DE" w:rsidP="00293E17">
      <w:r>
        <w:separator/>
      </w:r>
    </w:p>
  </w:footnote>
  <w:footnote w:type="continuationSeparator" w:id="0">
    <w:p w14:paraId="42DCD2B4" w14:textId="77777777" w:rsidR="008B18DE" w:rsidRDefault="008B18DE" w:rsidP="00293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F82"/>
    <w:rsid w:val="00293E17"/>
    <w:rsid w:val="00566F82"/>
    <w:rsid w:val="006230FD"/>
    <w:rsid w:val="008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87103"/>
  <w15:docId w15:val="{D42668D8-BF39-4878-92E5-8A2EABE8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E1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E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Home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xb21cn</cp:lastModifiedBy>
  <cp:revision>3</cp:revision>
  <dcterms:created xsi:type="dcterms:W3CDTF">2019-12-17T08:10:00Z</dcterms:created>
  <dcterms:modified xsi:type="dcterms:W3CDTF">2021-12-29T09:00:00Z</dcterms:modified>
</cp:coreProperties>
</file>