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lang w:eastAsia="zh-CN"/>
        </w:rPr>
        <w:t>环江毛南族自治县住房和城乡建设局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2"/>
          <w:sz w:val="44"/>
          <w:szCs w:val="44"/>
          <w:lang w:val="en-US" w:eastAsia="zh-CN" w:bidi="ar-SA"/>
        </w:rPr>
        <w:t>2022年公开招聘工作人员的公告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因工作需要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，现向社会公开招聘工作人员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名，主要从事乡村振兴、住房保障、人防服务、建安劳保等相关工作。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1.拥护中国共产党，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拥护中国特色社会主义</w:t>
      </w:r>
      <w:r>
        <w:rPr>
          <w:rFonts w:hint="eastAsia" w:ascii="仿宋_GB2312" w:hAnsi="仿宋_GB2312" w:eastAsia="仿宋_GB2312" w:cs="仿宋_GB2312"/>
          <w:sz w:val="32"/>
          <w:szCs w:val="32"/>
        </w:rPr>
        <w:t>，有良好的思想政治素质，遵纪守法，热爱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住建事业，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有较强的事业心、责任感和团结协作精神，能吃苦耐劳，服从安排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2.专业不限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3.有一定的文字写作能力、组织协调和语言表达能力，熟练操作计算机系统，熟悉office办公软件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4.年龄要求在18周岁以上、35周岁以下(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日期间出生)，身体健康，具有正常履行职责的身体条件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。有相关工作经历的，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年龄可以放宽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生源地或常住户口为环江籍的人员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有下列情形之一的不得报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：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曾因犯罪受过刑事处罚的；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有犯罪嫌疑尚未查清的；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曾被辞退或被开除公职的；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有精神病史的；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存在不适宜担任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其他情形的。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招聘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1.发布招聘信息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通过环江县人民政府网站内的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环江毛南族自治县住房和城乡建设局</w:t>
      </w:r>
      <w:r>
        <w:rPr>
          <w:rFonts w:hint="eastAsia" w:ascii="仿宋_GB2312" w:hAnsi="仿宋_GB2312" w:eastAsia="仿宋_GB2312" w:cs="仿宋_GB2312"/>
          <w:sz w:val="32"/>
          <w:szCs w:val="32"/>
        </w:rPr>
        <w:t>栏目公布。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  <w:t>2.报名方式：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  <w:t>现场提交材料。相关材料包括：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  <w:t>(1)应聘人员在网站下载、填写、双面打印《环江毛南族自治县住房和城乡建设局招聘工作人员报名表》(附件1)，近期免冠2寸彩照2张(底色不限)。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  <w:t>(2)应聘人员须提供本人身份证、最高学历毕业证等相关材料原件。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2.报名时间：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长期有效，招满即止。（周末除外可先通过电子邮件方式发送相关材料到hjjsj8870242@163.com）。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环江毛南族自治县住房和城乡建设局行政办</w:t>
      </w:r>
      <w:r>
        <w:rPr>
          <w:rFonts w:hint="eastAsia" w:ascii="仿宋_GB2312" w:hAnsi="仿宋_GB2312" w:eastAsia="仿宋_GB2312" w:cs="仿宋_GB2312"/>
          <w:sz w:val="32"/>
          <w:szCs w:val="32"/>
        </w:rPr>
        <w:t>(环江毛南族自治县思恩镇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桥西</w:t>
      </w:r>
      <w:r>
        <w:rPr>
          <w:rFonts w:hint="eastAsia" w:ascii="仿宋_GB2312" w:hAnsi="仿宋_GB2312" w:eastAsia="仿宋_GB2312" w:cs="仿宋_GB2312"/>
          <w:sz w:val="32"/>
          <w:szCs w:val="32"/>
        </w:rPr>
        <w:t>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</w:t>
      </w:r>
      <w:r>
        <w:rPr>
          <w:rFonts w:hint="eastAsia" w:ascii="仿宋_GB2312" w:hAnsi="仿宋_GB2312" w:eastAsia="仿宋_GB2312" w:cs="仿宋_GB2312"/>
          <w:sz w:val="32"/>
          <w:szCs w:val="32"/>
        </w:rPr>
        <w:t>楼四楼)。联系电话：0778-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8870242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  <w:t>4.资格审查。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  <w:t>现场提交材料后5个工作日内，由招聘单位对应聘人员进行资格审查，通过资格审查后，电话通知应聘人员进行面试;未进入面试的人员，报名材料恕不退还。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  <w:t> 5.面试。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  <w:t>对审查合格人员进行面试，主要测试应聘人员的仪表举止、语言表达、处理问题能力等综合素质。面试时间、地点另行通知。不按时参加面试的应聘人员，取消面试资格。通过电子邮件报名的应聘人员在面试报到时，携带身份证原件、毕业证原件到场进行审核。面试结束后，根据综合面试结果，确定拟聘用人员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  <w:t>5.体检。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  <w:t>根据面试结果按1：1比例确定体检， 应聘人员接到通知后，自行</w:t>
      </w:r>
      <w:r>
        <w:rPr>
          <w:rFonts w:hint="eastAsia" w:ascii="仿宋_GB2312" w:hAnsi="仿宋_GB2312" w:eastAsia="仿宋_GB2312" w:cs="仿宋_GB2312"/>
          <w:i w:val="0"/>
          <w:caps w:val="0"/>
          <w:color w:val="525353"/>
          <w:spacing w:val="0"/>
          <w:sz w:val="32"/>
          <w:szCs w:val="32"/>
          <w:shd w:val="clear" w:fill="FFFFFF"/>
        </w:rPr>
        <w:t>到县级以上具有相当资质的医疗机构进行体检。体检项目和标准参照修订后的《公务员录用体检通用标准（试行）》及《公务员录用体检操作手册（试行）》等规定执行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  <w:t>。体检费用由应聘人员</w:t>
      </w:r>
      <w:r>
        <w:rPr>
          <w:rFonts w:hint="eastAsia" w:ascii="仿宋_GB2312" w:hAnsi="仿宋_GB2312" w:eastAsia="仿宋_GB2312" w:cs="仿宋_GB2312"/>
          <w:i w:val="0"/>
          <w:caps w:val="0"/>
          <w:color w:val="525353"/>
          <w:spacing w:val="0"/>
          <w:sz w:val="32"/>
          <w:szCs w:val="32"/>
          <w:shd w:val="clear" w:fill="FFFFFF"/>
        </w:rPr>
        <w:t>承担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525353"/>
          <w:spacing w:val="0"/>
          <w:sz w:val="32"/>
          <w:szCs w:val="32"/>
          <w:shd w:val="clear" w:fill="FFFFFF"/>
        </w:rPr>
        <w:t>报考者不按规定时间、地点参加体检的，视为自动放弃体检资格。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  <w:t>因体检不合格出现的缺额按面试成绩从高到低依次递补。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  <w:t>6.聘用。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  <w:t>根据面试、体检结果择优拟定聘用人员名单，经对拟聘用人员公示无异议并按规定程序审批通过后正式录用。由环江毛南族自治县住房和城乡建设局与录用人员签订《劳动合同》，合同一年一签，试用期两个月（试用期包括在合同期内），试用期内不符合要求的予以解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工资待遇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  <w:t>录用人员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工资待遇按</w:t>
      </w:r>
      <w:r>
        <w:rPr>
          <w:rFonts w:hint="eastAsia" w:ascii="仿宋_GB2312" w:hAnsi="仿宋_GB2312" w:eastAsia="仿宋_GB2312" w:cs="仿宋_GB2312"/>
          <w:i w:val="0"/>
          <w:caps w:val="0"/>
          <w:color w:val="525353"/>
          <w:spacing w:val="0"/>
          <w:sz w:val="32"/>
          <w:szCs w:val="32"/>
          <w:shd w:val="clear" w:fill="FFFFFF"/>
        </w:rPr>
        <w:t>《环江毛南族自治县人民政府购买服务岗位人员管理办法（试行）》（环政发〔2016〕25号）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的有关规定执行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四、其他事项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  <w:t>1.应聘者对本人提交的报名信息的真实性负责，凡弄虚作假者，一经查实，即取消应聘资格。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  <w:t>2.其他未尽事宜，由环江毛南族自治县住房和城乡建设局负责解释，如有疑问请咨询：0778—8870242。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年公开招聘工作人员报名表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920" w:firstLineChars="60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环江毛南族自治县住房和城乡建设局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3200" w:firstLineChars="100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2022年1月14日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3200" w:firstLineChars="100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3200" w:firstLineChars="10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3200" w:firstLineChars="10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widowControl w:val="0"/>
        <w:adjustRightInd/>
        <w:snapToGrid/>
        <w:spacing w:after="0"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sectPr>
          <w:footerReference r:id="rId3" w:type="default"/>
          <w:pgSz w:w="11906" w:h="16838"/>
          <w:pgMar w:top="1701" w:right="1531" w:bottom="1440" w:left="1531" w:header="851" w:footer="1134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widowControl w:val="0"/>
        <w:adjustRightInd/>
        <w:snapToGrid/>
        <w:spacing w:after="0" w:line="600" w:lineRule="exact"/>
        <w:jc w:val="left"/>
        <w:rPr>
          <w:rFonts w:hint="eastAsia" w:ascii="Calibri" w:hAnsi="Calibri" w:eastAsia="宋体" w:cs="Times New Roman"/>
          <w:b/>
          <w:bCs/>
          <w:kern w:val="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附件</w:t>
      </w:r>
    </w:p>
    <w:p>
      <w:pPr>
        <w:widowControl w:val="0"/>
        <w:adjustRightInd/>
        <w:snapToGrid/>
        <w:spacing w:after="0" w:line="600" w:lineRule="exact"/>
        <w:jc w:val="center"/>
        <w:rPr>
          <w:rFonts w:hint="eastAsia" w:ascii="Calibri" w:hAnsi="Calibri" w:eastAsia="宋体" w:cs="Times New Roman"/>
          <w:b/>
          <w:bCs/>
          <w:kern w:val="2"/>
          <w:sz w:val="36"/>
          <w:szCs w:val="36"/>
          <w:lang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36"/>
          <w:szCs w:val="36"/>
          <w:lang w:eastAsia="zh-CN"/>
        </w:rPr>
        <w:t>环江毛南族自治县住房和城乡建设局</w:t>
      </w:r>
    </w:p>
    <w:p>
      <w:pPr>
        <w:widowControl w:val="0"/>
        <w:adjustRightInd/>
        <w:snapToGrid/>
        <w:spacing w:after="0" w:line="600" w:lineRule="exact"/>
        <w:jc w:val="center"/>
        <w:rPr>
          <w:rFonts w:ascii="Calibri" w:hAnsi="Calibri" w:eastAsia="宋体" w:cs="Times New Roman"/>
          <w:b/>
          <w:bCs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kern w:val="2"/>
          <w:sz w:val="36"/>
          <w:szCs w:val="36"/>
        </w:rPr>
        <w:t>20</w:t>
      </w:r>
      <w:r>
        <w:rPr>
          <w:rFonts w:hint="eastAsia" w:ascii="Calibri" w:hAnsi="Calibri" w:eastAsia="宋体" w:cs="Times New Roman"/>
          <w:b/>
          <w:bCs/>
          <w:kern w:val="2"/>
          <w:sz w:val="36"/>
          <w:szCs w:val="36"/>
          <w:lang w:val="en-US" w:eastAsia="zh-CN"/>
        </w:rPr>
        <w:t>22</w:t>
      </w:r>
      <w:r>
        <w:rPr>
          <w:rFonts w:hint="eastAsia" w:ascii="Calibri" w:hAnsi="Calibri" w:eastAsia="宋体" w:cs="Times New Roman"/>
          <w:b/>
          <w:bCs/>
          <w:kern w:val="2"/>
          <w:sz w:val="36"/>
          <w:szCs w:val="36"/>
        </w:rPr>
        <w:t>年公开招聘工作人员报名表</w:t>
      </w:r>
    </w:p>
    <w:tbl>
      <w:tblPr>
        <w:tblStyle w:val="6"/>
        <w:tblpPr w:leftFromText="180" w:rightFromText="180" w:vertAnchor="text" w:horzAnchor="margin" w:tblpXSpec="center" w:tblpY="182"/>
        <w:tblW w:w="98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820"/>
        <w:gridCol w:w="486"/>
        <w:gridCol w:w="696"/>
        <w:gridCol w:w="424"/>
        <w:gridCol w:w="758"/>
        <w:gridCol w:w="548"/>
        <w:gridCol w:w="635"/>
        <w:gridCol w:w="1127"/>
        <w:gridCol w:w="366"/>
        <w:gridCol w:w="858"/>
        <w:gridCol w:w="18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性   别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出生年月（岁）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  <w:t>照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籍</w:t>
            </w:r>
            <w:r>
              <w:rPr>
                <w:rFonts w:hint="eastAsia" w:ascii="宋体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　贯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80" w:lineRule="atLeast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入  党</w:t>
            </w:r>
          </w:p>
          <w:p>
            <w:pPr>
              <w:widowControl/>
              <w:adjustRightInd/>
              <w:snapToGrid/>
              <w:spacing w:after="0" w:line="280" w:lineRule="atLeast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时  间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80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80" w:lineRule="atLeast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参加工作</w:t>
            </w:r>
          </w:p>
          <w:p>
            <w:pPr>
              <w:widowControl/>
              <w:adjustRightInd/>
              <w:snapToGrid/>
              <w:spacing w:after="0" w:line="280" w:lineRule="atLeast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  <w:t>有何特长爱好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7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  <w:t>身高（cm）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300" w:lineRule="atLeast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全日制</w:t>
            </w:r>
          </w:p>
          <w:p>
            <w:pPr>
              <w:widowControl/>
              <w:adjustRightInd/>
              <w:snapToGrid/>
              <w:spacing w:after="0" w:line="300" w:lineRule="atLeast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教 育</w:t>
            </w:r>
          </w:p>
        </w:tc>
        <w:tc>
          <w:tcPr>
            <w:tcW w:w="727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300" w:lineRule="atLeast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在 职</w:t>
            </w:r>
          </w:p>
          <w:p>
            <w:pPr>
              <w:widowControl/>
              <w:adjustRightInd/>
              <w:snapToGrid/>
              <w:spacing w:after="0" w:line="300" w:lineRule="atLeast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教 育</w:t>
            </w:r>
          </w:p>
        </w:tc>
        <w:tc>
          <w:tcPr>
            <w:tcW w:w="727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现单位及职务</w:t>
            </w:r>
          </w:p>
        </w:tc>
        <w:tc>
          <w:tcPr>
            <w:tcW w:w="858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现住址</w:t>
            </w:r>
          </w:p>
        </w:tc>
        <w:tc>
          <w:tcPr>
            <w:tcW w:w="549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联系电话</w:t>
            </w:r>
          </w:p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（手机号）</w:t>
            </w:r>
          </w:p>
        </w:tc>
        <w:tc>
          <w:tcPr>
            <w:tcW w:w="1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学习及</w:t>
            </w:r>
          </w:p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工作简历</w:t>
            </w:r>
          </w:p>
        </w:tc>
        <w:tc>
          <w:tcPr>
            <w:tcW w:w="858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/>
              <w:snapToGrid/>
              <w:spacing w:after="0" w:line="240" w:lineRule="auto"/>
              <w:ind w:left="2726" w:hanging="2726"/>
              <w:jc w:val="both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858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/>
              <w:snapToGrid/>
              <w:spacing w:after="0" w:line="240" w:lineRule="auto"/>
              <w:ind w:left="2726" w:hanging="2726"/>
              <w:jc w:val="both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家庭主要</w:t>
            </w:r>
          </w:p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成  员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both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姓</w:t>
            </w:r>
            <w:r>
              <w:rPr>
                <w:rFonts w:hint="eastAsia" w:ascii="宋体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年 龄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报名人承诺</w:t>
            </w:r>
          </w:p>
        </w:tc>
        <w:tc>
          <w:tcPr>
            <w:tcW w:w="8584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both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adjustRightInd/>
              <w:snapToGrid/>
              <w:spacing w:after="0" w:line="240" w:lineRule="auto"/>
              <w:jc w:val="both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adjustRightInd/>
              <w:snapToGrid/>
              <w:spacing w:after="0" w:line="240" w:lineRule="auto"/>
              <w:ind w:firstLine="4935" w:firstLineChars="2350"/>
              <w:jc w:val="both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报名人签名：</w:t>
            </w:r>
          </w:p>
          <w:p>
            <w:pPr>
              <w:widowControl/>
              <w:adjustRightInd/>
              <w:snapToGrid/>
              <w:spacing w:after="0" w:line="240" w:lineRule="auto"/>
              <w:ind w:firstLine="4935" w:firstLineChars="2350"/>
              <w:jc w:val="both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2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招聘单位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>初审意见</w:t>
            </w:r>
          </w:p>
        </w:tc>
        <w:tc>
          <w:tcPr>
            <w:tcW w:w="8584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 xml:space="preserve">         负责人（签字）      单位（盖章）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kern w:val="0"/>
                <w:sz w:val="21"/>
                <w:szCs w:val="21"/>
              </w:rPr>
              <w:t xml:space="preserve">                     年    月    日 </w:t>
            </w:r>
          </w:p>
        </w:tc>
      </w:tr>
    </w:tbl>
    <w:p>
      <w:pPr>
        <w:widowControl w:val="0"/>
        <w:adjustRightInd/>
        <w:snapToGrid/>
        <w:spacing w:after="0" w:line="240" w:lineRule="auto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1"/>
          <w:szCs w:val="24"/>
        </w:rPr>
        <w:t>备注：1.此表用A4纸双面打印；2.填写时不得涂改；3.“报名人签名”需手写签名。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3200" w:firstLineChars="10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pgSz w:w="11906" w:h="16838"/>
      <w:pgMar w:top="567" w:right="567" w:bottom="567" w:left="567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仿宋_GB231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A1668"/>
    <w:rsid w:val="029D4299"/>
    <w:rsid w:val="09273F8D"/>
    <w:rsid w:val="0B9576DC"/>
    <w:rsid w:val="0C9A0399"/>
    <w:rsid w:val="13F3512F"/>
    <w:rsid w:val="28CA1668"/>
    <w:rsid w:val="303D6AC1"/>
    <w:rsid w:val="32C07973"/>
    <w:rsid w:val="3FB408CB"/>
    <w:rsid w:val="44C56BD3"/>
    <w:rsid w:val="4BAC1718"/>
    <w:rsid w:val="4E5B2125"/>
    <w:rsid w:val="5F954022"/>
    <w:rsid w:val="64AD6581"/>
    <w:rsid w:val="687F09DC"/>
    <w:rsid w:val="6BA83F72"/>
    <w:rsid w:val="719B21DA"/>
    <w:rsid w:val="7E7026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2018-03-08T00:33:00Z</dcterms:created>
  <dc:creator>轻松一下</dc:creator>
  <cp:lastModifiedBy>轻松一下</cp:lastModifiedBy>
  <cp:lastPrinted>2019-10-24T09:57:00Z</cp:lastPrinted>
  <dcterms:modified xsi:type="dcterms:W3CDTF">2022-01-14T10:39:51Z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