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color w:val="0000FF"/>
          <w:kern w:val="0"/>
          <w:sz w:val="32"/>
          <w:szCs w:val="32"/>
          <w:highlight w:val="none"/>
          <w:u w:val="single"/>
          <w:shd w:val="clear" w:color="auto" w:fill="FFFFFF"/>
        </w:rPr>
      </w:pPr>
    </w:p>
    <w:tbl>
      <w:tblPr>
        <w:tblStyle w:val="5"/>
        <w:tblW w:w="136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750"/>
        <w:gridCol w:w="555"/>
        <w:gridCol w:w="1607"/>
        <w:gridCol w:w="1750"/>
        <w:gridCol w:w="5262"/>
        <w:gridCol w:w="850"/>
        <w:gridCol w:w="1316"/>
        <w:gridCol w:w="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5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u w:val="none"/>
              </w:rPr>
              <w:t>阳泉市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u w:val="none"/>
                <w:lang w:eastAsia="zh-CN"/>
              </w:rPr>
              <w:t>生态环境保护综合行政执法队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>2022年</w:t>
            </w:r>
            <w:r>
              <w:rPr>
                <w:rStyle w:val="7"/>
                <w:rFonts w:hint="eastAsia" w:cs="宋体"/>
                <w:sz w:val="36"/>
                <w:szCs w:val="36"/>
              </w:rPr>
              <w:t>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阳泉市生态环境保护综合行政执法队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  <w:t>经济学（学科门类）、管理学（学科门类）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cs="宋体" w:eastAsia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  <w:t>阳泉市范围内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 w:hAnsiTheme="minorHAns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 w:hAnsiTheme="minorHAns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  <w:t>经济学（学科门类）、管理学（学科门类）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 w:cs="宋体" w:hAnsiTheme="minorHAns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left"/>
              <w:textAlignment w:val="auto"/>
              <w:rPr>
                <w:rFonts w:hint="default" w:ascii="宋体" w:cs="宋体" w:hAnsiTheme="minorHAnsi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 w:eastAsiaTheme="minorEastAsia"/>
                <w:color w:val="000000"/>
                <w:sz w:val="20"/>
                <w:szCs w:val="20"/>
                <w:lang w:eastAsia="zh-CN"/>
              </w:rPr>
              <w:t>服务基层项目人员专门岗位，不达开考比例自动转入一般性岗位专技岗</w:t>
            </w:r>
            <w:r>
              <w:rPr>
                <w:rFonts w:hint="eastAsia" w:ascii="宋体" w:cs="宋体" w:eastAsiaTheme="minorEastAsia"/>
                <w:color w:val="000000"/>
                <w:sz w:val="20"/>
                <w:szCs w:val="20"/>
                <w:lang w:val="en-US" w:eastAsia="zh-CN"/>
              </w:rPr>
              <w:t>1。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cs="宋体" w:hAnsiTheme="minorHAnsi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  <w:t>阳泉市范围内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cs="宋体" w:hAnsiTheme="minorHAnsi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  <w:t>科：环境科学与工程类（一级学科）、物理学类（一级学科）、化学类（一级学科）、化工与制药类（一级学科）、电气类（一级学科）、机械类（一级学科）、计算机类（一级学科）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  <w:t>研究生：环境科学与工程（一级学科）、资源与环境（一级学科）、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left"/>
              <w:textAlignment w:val="auto"/>
              <w:rPr>
                <w:rFonts w:hint="default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  <w:highlight w:val="none"/>
                <w:vertAlign w:val="baseline"/>
                <w:lang w:val="en-US" w:eastAsia="zh-CN"/>
              </w:rPr>
              <w:t>物理学（一级学科）、化学（一级学科）、化学工程与技术（一级学科）、材料与化工（一级学科）、电气工程（一级学科）、机械工程（一级学科）、计算机科学与技术（一级学科）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vertAlign w:val="baseline"/>
                <w:lang w:val="en-US" w:eastAsia="zh-CN"/>
              </w:rPr>
              <w:t>从事一线执法，夜间值班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  <w:vertAlign w:val="baseline"/>
                <w:lang w:val="en-US" w:eastAsia="zh-CN"/>
              </w:rPr>
              <w:t>，适宜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男性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  <w:t>阳泉市范围内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rPr>
                <w:rFonts w:hint="default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本科：中国语言文学类（一级学科）、法学类（一级学科）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0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研究生：中国语言文学（一级学科）、法学（一级学科）、法律（一级学科）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  <w:t>阳泉市范围内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专技岗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18周岁及以上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right="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lang w:eastAsia="zh-CN"/>
              </w:rPr>
              <w:t>不限专业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vertAlign w:val="baseline"/>
                <w:lang w:val="en-US" w:eastAsia="zh-CN"/>
              </w:rPr>
              <w:t>阳泉市范围内</w:t>
            </w:r>
          </w:p>
        </w:tc>
      </w:tr>
    </w:tbl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highlight w:val="none"/>
          <w:shd w:val="clear" w:color="auto" w:fill="FFFFFF"/>
        </w:rPr>
        <w:sectPr>
          <w:pgSz w:w="16838" w:h="11906" w:orient="landscape"/>
          <w:pgMar w:top="1474" w:right="1418" w:bottom="1588" w:left="1418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B66E4"/>
    <w:rsid w:val="339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basedOn w:val="6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2022-01-30T01:32:00Z</dcterms:created>
  <dc:creator>花满楼</dc:creator>
  <cp:lastModifiedBy>花满楼</cp:lastModifiedBy>
  <dcterms:modified xsi:type="dcterms:W3CDTF">2022-01-30T01:34:11Z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0002E8FD03B3475D9E6929F5B436B891</vt:lpwstr>
  </property>
</Properties>
</file>