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pPr>
        <w:spacing w:line="580" w:lineRule="exact"/>
        <w:jc w:val="center"/>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湖北工程学院2022年引进人才待遇标准</w:t>
      </w:r>
    </w:p>
    <w:p>
      <w:pPr>
        <w:spacing w:line="580" w:lineRule="exact"/>
        <w:ind w:firstLine="640" w:firstLineChars="200"/>
        <w:jc w:val="both"/>
        <w:rPr>
          <w:rFonts w:hint="eastAsia" w:ascii="黑体" w:hAnsi="黑体" w:eastAsia="黑体" w:cs="黑体"/>
          <w:b w:val="0"/>
          <w:bCs/>
          <w:sz w:val="32"/>
          <w:szCs w:val="32"/>
        </w:rPr>
      </w:pPr>
    </w:p>
    <w:p>
      <w:pPr>
        <w:spacing w:line="580" w:lineRule="exact"/>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高层次人才</w:t>
      </w:r>
    </w:p>
    <w:p>
      <w:pPr>
        <w:spacing w:line="58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学科带头人</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科学院、工程院院士（含两院院士有效候选人）；国家学科带头人特殊支持计划人才；长江学者；国家自然科学杰出青年基金获得者；“973”、“863”课题项目负责人；国家科技支撑计划课题负责人；国内外知名高校或科研院所课题组负责人。</w:t>
      </w:r>
    </w:p>
    <w:p>
      <w:pPr>
        <w:spacing w:line="580" w:lineRule="exact"/>
        <w:ind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）学术带头人</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国务院特殊津贴获得者；国家级教学名师；国家创新人才推进计划人选；国家有突出贡献中青年专家；“百千万人才工程”省部级及以上人选；教育部创新团队负责人；教育部跨世纪优秀人才培养计划人选；省级新世纪高层次人才工程第一层次人选；湖北省高端人才引领培养计划人才；省级重大科技专项负责人；国内外知名高校或科研院所知名教授、博士生导师；近三年省部级科学技术奖、社会科学奖一等奖获得者（前三名）、二等奖获得者（主持）；近三年国家科学技术奖、社会科学奖一等奖获得者（前五名）、二等奖获得者（前三名），三等奖获得者（主持）。</w:t>
      </w:r>
    </w:p>
    <w:p>
      <w:pPr>
        <w:spacing w:line="580" w:lineRule="exact"/>
        <w:ind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）创新创业人才</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主板上市企业高管；具有博士学位的科技型企业股东或高管；国家级创新创业竞赛二等奖及以上（团队获奖排名前三）或省级创新创业竞赛一等奖获得者（团队获奖排名前二），应聘的获奖者应具有博士学位或高级职称。</w:t>
      </w:r>
    </w:p>
    <w:p>
      <w:pPr>
        <w:spacing w:line="58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对以上人才的聘用，学校采取一人一策、一事一议，解决住房、安家费、科研配套经费等。</w:t>
      </w:r>
    </w:p>
    <w:p>
      <w:pPr>
        <w:numPr>
          <w:ilvl w:val="0"/>
          <w:numId w:val="0"/>
        </w:numPr>
        <w:spacing w:line="580" w:lineRule="exact"/>
        <w:ind w:firstLine="640" w:firstLineChars="200"/>
        <w:rPr>
          <w:rFonts w:hint="eastAsia" w:ascii="楷体_GB2312" w:hAnsi="宋体" w:eastAsia="楷体_GB2312" w:cs="宋体"/>
          <w:b/>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博士研究生（首聘服务期为8年）</w:t>
      </w:r>
    </w:p>
    <w:p>
      <w:pPr>
        <w:spacing w:line="580" w:lineRule="exact"/>
        <w:ind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引进博士研究生待遇</w:t>
      </w:r>
    </w:p>
    <w:p>
      <w:pPr>
        <w:spacing w:after="156" w:afterLines="50"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按下列标准提供基本安家费和科研启动经费：</w:t>
      </w:r>
    </w:p>
    <w:tbl>
      <w:tblPr>
        <w:tblStyle w:val="4"/>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268"/>
        <w:gridCol w:w="2330"/>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754"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jc w:val="center"/>
              <w:rPr>
                <w:rFonts w:ascii="仿宋_GB2312" w:hAnsi="宋体" w:eastAsia="仿宋_GB2312"/>
                <w:sz w:val="24"/>
              </w:rPr>
            </w:pPr>
            <w:r>
              <w:rPr>
                <w:rFonts w:hint="eastAsia" w:ascii="仿宋_GB2312" w:hAnsi="宋体" w:eastAsia="仿宋_GB2312" w:cs="仿宋"/>
                <w:sz w:val="24"/>
              </w:rPr>
              <w:t>学科</w:t>
            </w:r>
          </w:p>
          <w:p>
            <w:pPr>
              <w:pStyle w:val="3"/>
              <w:widowControl/>
              <w:spacing w:beforeAutospacing="0" w:afterAutospacing="0"/>
              <w:jc w:val="center"/>
              <w:rPr>
                <w:rFonts w:ascii="仿宋_GB2312" w:hAnsi="宋体" w:eastAsia="仿宋_GB2312" w:cs="仿宋"/>
              </w:rPr>
            </w:pPr>
            <w:r>
              <w:rPr>
                <w:rFonts w:hint="eastAsia" w:ascii="仿宋_GB2312" w:hAnsi="宋体" w:eastAsia="仿宋_GB2312" w:cs="仿宋"/>
              </w:rPr>
              <w:t>类别</w:t>
            </w:r>
          </w:p>
        </w:tc>
        <w:tc>
          <w:tcPr>
            <w:tcW w:w="2330"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文、理科</w:t>
            </w:r>
          </w:p>
        </w:tc>
        <w:tc>
          <w:tcPr>
            <w:tcW w:w="2219"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6" w:type="dxa"/>
            <w:vMerge w:val="restart"/>
            <w:tcBorders>
              <w:top w:val="single" w:color="auto" w:sz="4" w:space="0"/>
              <w:left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Times New Roman"/>
              </w:rPr>
              <w:t>基本安家费</w:t>
            </w:r>
          </w:p>
        </w:tc>
        <w:tc>
          <w:tcPr>
            <w:tcW w:w="2268"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博士研究生（A类）</w:t>
            </w:r>
          </w:p>
        </w:tc>
        <w:tc>
          <w:tcPr>
            <w:tcW w:w="4549" w:type="dxa"/>
            <w:gridSpan w:val="2"/>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6" w:type="dxa"/>
            <w:vMerge w:val="continue"/>
            <w:tcBorders>
              <w:left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博士研究生（B类）</w:t>
            </w:r>
          </w:p>
        </w:tc>
        <w:tc>
          <w:tcPr>
            <w:tcW w:w="2330"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35万</w:t>
            </w:r>
          </w:p>
        </w:tc>
        <w:tc>
          <w:tcPr>
            <w:tcW w:w="2219"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6" w:type="dxa"/>
            <w:vMerge w:val="continue"/>
            <w:tcBorders>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其他博士研究生</w:t>
            </w:r>
          </w:p>
        </w:tc>
        <w:tc>
          <w:tcPr>
            <w:tcW w:w="4549" w:type="dxa"/>
            <w:gridSpan w:val="2"/>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Times New Roman"/>
              </w:rPr>
            </w:pPr>
            <w:r>
              <w:rPr>
                <w:rFonts w:hint="eastAsia" w:ascii="仿宋_GB2312" w:hAnsi="宋体" w:eastAsia="仿宋_GB2312" w:cs="仿宋"/>
              </w:rPr>
              <w:t>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54" w:type="dxa"/>
            <w:gridSpan w:val="2"/>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仿宋"/>
              </w:rPr>
            </w:pPr>
            <w:r>
              <w:rPr>
                <w:rFonts w:hint="eastAsia" w:ascii="仿宋_GB2312" w:hAnsi="宋体" w:eastAsia="仿宋_GB2312" w:cs="Times New Roman"/>
              </w:rPr>
              <w:t>博士科研启动经费</w:t>
            </w:r>
          </w:p>
        </w:tc>
        <w:tc>
          <w:tcPr>
            <w:tcW w:w="4549" w:type="dxa"/>
            <w:gridSpan w:val="2"/>
            <w:tcBorders>
              <w:top w:val="single" w:color="auto" w:sz="4" w:space="0"/>
              <w:left w:val="single" w:color="auto" w:sz="4" w:space="0"/>
              <w:bottom w:val="single" w:color="auto" w:sz="4" w:space="0"/>
              <w:right w:val="single" w:color="auto" w:sz="4" w:space="0"/>
            </w:tcBorders>
            <w:vAlign w:val="center"/>
          </w:tcPr>
          <w:p>
            <w:pPr>
              <w:pStyle w:val="3"/>
              <w:widowControl/>
              <w:spacing w:beforeAutospacing="0" w:afterAutospacing="0"/>
              <w:jc w:val="center"/>
              <w:rPr>
                <w:rFonts w:ascii="仿宋_GB2312" w:hAnsi="宋体" w:eastAsia="仿宋_GB2312" w:cs="仿宋"/>
              </w:rPr>
            </w:pPr>
            <w:r>
              <w:rPr>
                <w:rFonts w:hint="eastAsia" w:ascii="仿宋_GB2312" w:hAnsi="宋体" w:eastAsia="仿宋_GB2312" w:cs="仿宋"/>
              </w:rPr>
              <w:t>人文社科类5-10万；理工科类10-15万</w:t>
            </w:r>
          </w:p>
        </w:tc>
      </w:tr>
    </w:tbl>
    <w:p>
      <w:pPr>
        <w:spacing w:line="580" w:lineRule="exact"/>
        <w:ind w:firstLine="64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（二）引进博士研究生分类标准</w:t>
      </w:r>
    </w:p>
    <w:p>
      <w:pPr>
        <w:spacing w:after="156" w:afterLines="50"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认定为A类、B类的博士研究生，必须满足招聘公告中所要求的基本条件和岗位条件，同时，根据不同的学科类别，攻读博士学位以来，还应取得下列条件之一：</w:t>
      </w:r>
    </w:p>
    <w:p>
      <w:pPr>
        <w:spacing w:after="156" w:afterLines="50" w:line="580" w:lineRule="exact"/>
        <w:ind w:firstLine="640" w:firstLineChars="200"/>
        <w:rPr>
          <w:rFonts w:hint="eastAsia" w:ascii="仿宋_GB2312" w:hAnsi="宋体" w:eastAsia="仿宋_GB2312" w:cs="宋体"/>
          <w:sz w:val="32"/>
          <w:szCs w:val="32"/>
        </w:rPr>
      </w:pPr>
    </w:p>
    <w:p>
      <w:pPr>
        <w:spacing w:after="156" w:afterLines="50" w:line="580" w:lineRule="exact"/>
        <w:ind w:firstLine="640" w:firstLineChars="200"/>
        <w:rPr>
          <w:rFonts w:hint="eastAsia" w:ascii="仿宋_GB2312" w:hAnsi="宋体" w:eastAsia="仿宋_GB2312" w:cs="宋体"/>
          <w:sz w:val="32"/>
          <w:szCs w:val="32"/>
        </w:rPr>
      </w:pPr>
    </w:p>
    <w:p>
      <w:pPr>
        <w:spacing w:after="156" w:afterLines="50" w:line="580" w:lineRule="exact"/>
        <w:ind w:firstLine="640" w:firstLineChars="200"/>
        <w:rPr>
          <w:rFonts w:hint="eastAsia" w:ascii="仿宋_GB2312" w:hAnsi="宋体" w:eastAsia="仿宋_GB2312" w:cs="宋体"/>
          <w:sz w:val="32"/>
          <w:szCs w:val="32"/>
        </w:rPr>
      </w:pPr>
    </w:p>
    <w:p>
      <w:pPr>
        <w:spacing w:after="156" w:afterLines="50" w:line="580" w:lineRule="exact"/>
        <w:ind w:firstLine="640" w:firstLineChars="200"/>
        <w:rPr>
          <w:rFonts w:hint="eastAsia" w:ascii="仿宋_GB2312" w:hAnsi="宋体" w:eastAsia="仿宋_GB2312" w:cs="宋体"/>
          <w:sz w:val="32"/>
          <w:szCs w:val="32"/>
        </w:rPr>
      </w:pPr>
      <w:bookmarkStart w:id="0" w:name="_GoBack"/>
      <w:bookmarkEnd w:id="0"/>
    </w:p>
    <w:tbl>
      <w:tblPr>
        <w:tblStyle w:val="4"/>
        <w:tblW w:w="95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8"/>
        <w:gridCol w:w="2859"/>
        <w:gridCol w:w="2650"/>
        <w:gridCol w:w="3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0" w:hRule="atLeast"/>
          <w:jc w:val="center"/>
        </w:trPr>
        <w:tc>
          <w:tcPr>
            <w:tcW w:w="68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szCs w:val="21"/>
              </w:rPr>
            </w:pPr>
            <w:r>
              <w:rPr>
                <w:rFonts w:hint="eastAsia" w:ascii="宋体" w:hAnsi="宋体" w:cs="宋体"/>
                <w:b/>
                <w:color w:val="333333"/>
                <w:kern w:val="0"/>
                <w:szCs w:val="21"/>
              </w:rPr>
              <w:t>学术水平分类</w:t>
            </w:r>
          </w:p>
        </w:tc>
        <w:tc>
          <w:tcPr>
            <w:tcW w:w="2859"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240" w:lineRule="atLeast"/>
              <w:jc w:val="center"/>
              <w:rPr>
                <w:szCs w:val="21"/>
              </w:rPr>
            </w:pPr>
            <w:r>
              <w:rPr>
                <w:rFonts w:hint="eastAsia" w:ascii="宋体" w:hAnsi="宋体" w:cs="宋体"/>
                <w:b/>
                <w:color w:val="333333"/>
                <w:kern w:val="0"/>
                <w:szCs w:val="21"/>
              </w:rPr>
              <w:t>人文社科类</w:t>
            </w:r>
          </w:p>
        </w:tc>
        <w:tc>
          <w:tcPr>
            <w:tcW w:w="265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240" w:lineRule="atLeast"/>
              <w:jc w:val="center"/>
              <w:rPr>
                <w:rFonts w:ascii="宋体" w:hAnsi="宋体" w:cs="宋体"/>
                <w:b/>
                <w:color w:val="333333"/>
                <w:kern w:val="0"/>
                <w:szCs w:val="21"/>
              </w:rPr>
            </w:pPr>
            <w:r>
              <w:rPr>
                <w:rFonts w:hint="eastAsia" w:ascii="宋体" w:hAnsi="宋体" w:cs="宋体"/>
                <w:b/>
                <w:color w:val="333333"/>
                <w:kern w:val="0"/>
                <w:szCs w:val="21"/>
              </w:rPr>
              <w:t>理科类</w:t>
            </w:r>
          </w:p>
        </w:tc>
        <w:tc>
          <w:tcPr>
            <w:tcW w:w="333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240" w:lineRule="atLeast"/>
              <w:jc w:val="center"/>
              <w:rPr>
                <w:rFonts w:ascii="宋体" w:hAnsi="宋体" w:cs="宋体"/>
                <w:b/>
                <w:color w:val="333333"/>
                <w:kern w:val="0"/>
                <w:szCs w:val="21"/>
              </w:rPr>
            </w:pPr>
            <w:r>
              <w:rPr>
                <w:rFonts w:hint="eastAsia" w:ascii="宋体" w:hAnsi="宋体" w:cs="宋体"/>
                <w:b/>
                <w:color w:val="333333"/>
                <w:kern w:val="0"/>
                <w:szCs w:val="21"/>
              </w:rPr>
              <w:t>工科类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92" w:hRule="atLeast"/>
          <w:jc w:val="center"/>
        </w:trPr>
        <w:tc>
          <w:tcPr>
            <w:tcW w:w="68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300" w:lineRule="atLeast"/>
              <w:jc w:val="center"/>
            </w:pPr>
            <w:r>
              <w:rPr>
                <w:rFonts w:hint="eastAsia" w:ascii="宋体" w:hAnsi="宋体" w:cs="宋体"/>
                <w:color w:val="333333"/>
                <w:kern w:val="0"/>
                <w:sz w:val="24"/>
              </w:rPr>
              <w:t>A类</w:t>
            </w:r>
          </w:p>
        </w:tc>
        <w:tc>
          <w:tcPr>
            <w:tcW w:w="2859"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1、被《新华文摘》、《中国社会科学文摘》全文收录或转载期刊论文2篇；或在SSCI、A＆HCI学术期刊发表论文2篇；或在SSCI、A＆HCI收录的学术期刊发表论文1篇，且在CSSCI期刊（非扩展版）发表论文3篇。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2、主持或作为主要参加人（导师排名第一，本人排名第二）承担国家级科研项目，同时在SSCI、A＆HCI发表论文1篇；或出版学术专著1部；或在CSSCI(非扩展版)、EI(源刊）学术期刊上发表论文2篇。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3、发表ESI高被引或热点论文1篇，或获得国家科技进步奖或国家教学成果奖或教育部人文社会科学优秀成果奖（排名前五）。</w:t>
            </w:r>
          </w:p>
        </w:tc>
        <w:tc>
          <w:tcPr>
            <w:tcW w:w="2650"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1、在SCI一区学术期刊发表论文2篇；或在SCI二区以上学术期刊发表论文3篇。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2、主持或作为主要参加人（导师排名第一，本人排名第二）承担国家级科研项目。同时，在SCI一区期刊发表论文1篇，或在SCI二区期刊发表论文2篇，或在EI（源刊）学术期刊发表论文2篇，或出版学术专著1部；</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3、发表ESI高被引或热点论文1篇，或获得国家科技进步奖或国家教学成果奖或教育部高等学校科学研究优秀成果奖（排名前五）。</w:t>
            </w:r>
          </w:p>
        </w:tc>
        <w:tc>
          <w:tcPr>
            <w:tcW w:w="3334"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1、在SCI一区学术期刊发表论文1篇；或在SCI二区学术期刊发表论文2篇；或在SCI三区以上学术期刊发表论文4篇；或在SCI学术期刊或EI源刊发表论文5篇，其中至少在SCI三区以上学术期刊发表论文3篇。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2、主持或作为主要参加人（导师排名第一，本人排名第二）承担国家级科研项目。同时，工科类博士研究生在SCI二区以上期刊发表论文1篇或SCI三区学术期刊发表论文3篇。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3、发表ESI高被引或热点论文1篇，或获得国家科技进步奖或国家教学成果奖或教育部高等学校科学研究优秀成果奖（排名前五）。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23" w:hRule="atLeast"/>
          <w:jc w:val="center"/>
        </w:trPr>
        <w:tc>
          <w:tcPr>
            <w:tcW w:w="68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300" w:lineRule="atLeast"/>
              <w:jc w:val="center"/>
            </w:pPr>
            <w:r>
              <w:rPr>
                <w:rFonts w:hint="eastAsia" w:ascii="宋体" w:hAnsi="宋体" w:cs="宋体"/>
                <w:color w:val="333333"/>
                <w:kern w:val="0"/>
                <w:sz w:val="24"/>
              </w:rPr>
              <w:t>B类</w:t>
            </w:r>
          </w:p>
        </w:tc>
        <w:tc>
          <w:tcPr>
            <w:tcW w:w="2859"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10" w:firstLineChars="100"/>
              <w:rPr>
                <w:rFonts w:ascii="仿宋_GB2312" w:hAnsi="宋体" w:eastAsia="仿宋_GB2312"/>
                <w:szCs w:val="21"/>
              </w:rPr>
            </w:pPr>
            <w:r>
              <w:rPr>
                <w:rFonts w:hint="eastAsia" w:ascii="仿宋_GB2312" w:hAnsi="宋体" w:eastAsia="仿宋_GB2312" w:cs="宋体"/>
                <w:szCs w:val="21"/>
              </w:rPr>
              <w:t>1、被《新华文摘》、《中国社会科学文摘》全文收录或转载期刊论文1篇，或在SSCI、A&amp;HCI学术期刊发表论文1篇；或在CSSCI期刊(非扩展版)发表论文4篇。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2、主持或作为主要参加人（导师排名第一，本人排名第二）承担国家级科研项目。同时，在SCI、CSSCI(非扩展版)、EI（源刊）学术期刊上发表论文1篇。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3、获得省级人文社科优秀成果奖或省级教学成果奖（一等奖排名前三，二等奖排名前二）。</w:t>
            </w:r>
          </w:p>
        </w:tc>
        <w:tc>
          <w:tcPr>
            <w:tcW w:w="2650"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1、在SCI一区学术期刊发表论文1篇；或在SCI二区学术期刊发表论文2篇。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2、主持或作为主要参加人（导师排名第一，本人排名第二）承担国家级科研项目。同时，在SCI、CSSCI（非扩展版）、EI（源刊）学术期刊上发表论文1篇。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3、获得省级科技成果奖或省级教学成果奖（一等奖排名前三，二等奖排名前二）。</w:t>
            </w:r>
          </w:p>
        </w:tc>
        <w:tc>
          <w:tcPr>
            <w:tcW w:w="3334"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1、在SCI二区学术期刊发表论文1篇；或在SCI三区学术期刊发表论文2篇；或在SCI学术期刊或EI源刊发表论文3篇，其中至少在SCI三区以上学术期刊发表论文1篇。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2、主持或作为主要参加人（导师排名第一，本人排名第二）承担国家级科研项目。同时，在SCI、CSSCI(非扩展版)、EI（源刊）学术期刊上发表论文1篇。</w:t>
            </w:r>
          </w:p>
          <w:p>
            <w:pPr>
              <w:spacing w:line="280" w:lineRule="exact"/>
              <w:ind w:firstLine="210" w:firstLineChars="100"/>
              <w:rPr>
                <w:rFonts w:ascii="仿宋_GB2312" w:hAnsi="宋体" w:eastAsia="仿宋_GB2312" w:cs="宋体"/>
                <w:szCs w:val="21"/>
              </w:rPr>
            </w:pPr>
            <w:r>
              <w:rPr>
                <w:rFonts w:hint="eastAsia" w:ascii="仿宋_GB2312" w:hAnsi="宋体" w:eastAsia="仿宋_GB2312" w:cs="宋体"/>
                <w:szCs w:val="21"/>
              </w:rPr>
              <w:t>3、获得省级科技成果奖或省级教学成果奖（一等奖排名前三，二等奖排名前二）。</w:t>
            </w:r>
          </w:p>
        </w:tc>
      </w:tr>
    </w:tbl>
    <w:p>
      <w:pPr>
        <w:spacing w:line="400" w:lineRule="exact"/>
        <w:ind w:firstLine="480"/>
        <w:rPr>
          <w:rFonts w:ascii="仿宋_GB2312" w:hAnsi="宋体" w:eastAsia="仿宋_GB2312" w:cs="宋体"/>
          <w:b/>
          <w:bCs/>
          <w:sz w:val="28"/>
          <w:szCs w:val="28"/>
        </w:rPr>
      </w:pPr>
      <w:r>
        <w:rPr>
          <w:rFonts w:hint="eastAsia" w:ascii="仿宋_GB2312" w:hAnsi="宋体" w:eastAsia="仿宋_GB2312" w:cs="宋体"/>
          <w:b/>
          <w:sz w:val="24"/>
        </w:rPr>
        <w:t>（上述各类条件中，论文应为第一作者（排序1），SCI论文分区以当年最新中科院大类分区升级版为准）</w:t>
      </w:r>
    </w:p>
    <w:p>
      <w:pPr>
        <w:numPr>
          <w:ilvl w:val="0"/>
          <w:numId w:val="0"/>
        </w:numPr>
        <w:spacing w:after="156" w:afterLines="50" w:line="580" w:lineRule="exact"/>
        <w:ind w:firstLine="640" w:firstLineChars="200"/>
        <w:rPr>
          <w:rFonts w:hint="eastAsia" w:ascii="仿宋_GB2312" w:hAnsi="宋体" w:eastAsia="仿宋_GB2312" w:cs="宋体"/>
          <w:b/>
          <w:bCs/>
          <w:sz w:val="32"/>
          <w:szCs w:val="32"/>
        </w:rPr>
      </w:pPr>
      <w:r>
        <w:rPr>
          <w:rFonts w:hint="eastAsia" w:ascii="楷体" w:hAnsi="楷体" w:eastAsia="楷体" w:cs="楷体"/>
          <w:b w:val="0"/>
          <w:bCs/>
          <w:sz w:val="32"/>
          <w:szCs w:val="32"/>
          <w:lang w:val="en-US" w:eastAsia="zh-CN"/>
        </w:rPr>
        <w:t>（三）学校“春晖学者计划”人才待遇</w:t>
      </w:r>
    </w:p>
    <w:p>
      <w:pPr>
        <w:spacing w:after="156" w:afterLines="50" w:line="58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经</w:t>
      </w:r>
      <w:r>
        <w:rPr>
          <w:rFonts w:hint="eastAsia" w:ascii="仿宋_GB2312" w:hAnsi="宋体" w:eastAsia="仿宋_GB2312" w:cs="宋体"/>
          <w:sz w:val="32"/>
          <w:szCs w:val="32"/>
        </w:rPr>
        <w:t>学校</w:t>
      </w:r>
      <w:r>
        <w:rPr>
          <w:rFonts w:hint="eastAsia" w:ascii="仿宋_GB2312" w:hAnsi="宋体" w:eastAsia="仿宋_GB2312" w:cs="宋体"/>
          <w:sz w:val="32"/>
          <w:szCs w:val="32"/>
          <w:lang w:val="en-US" w:eastAsia="zh-CN"/>
        </w:rPr>
        <w:t>认定为A、B类的</w:t>
      </w:r>
      <w:r>
        <w:rPr>
          <w:rFonts w:hint="eastAsia" w:ascii="仿宋_GB2312" w:hAnsi="宋体" w:eastAsia="仿宋_GB2312" w:cs="宋体"/>
          <w:sz w:val="32"/>
          <w:szCs w:val="32"/>
        </w:rPr>
        <w:t>博士</w:t>
      </w:r>
      <w:r>
        <w:rPr>
          <w:rFonts w:hint="eastAsia" w:ascii="仿宋_GB2312" w:hAnsi="宋体" w:eastAsia="仿宋_GB2312" w:cs="宋体"/>
          <w:sz w:val="32"/>
          <w:szCs w:val="32"/>
          <w:lang w:val="en-US" w:eastAsia="zh-CN"/>
        </w:rPr>
        <w:t>研究生</w:t>
      </w:r>
      <w:r>
        <w:rPr>
          <w:rFonts w:hint="eastAsia" w:ascii="仿宋_GB2312" w:hAnsi="宋体" w:eastAsia="仿宋_GB2312" w:cs="宋体"/>
          <w:sz w:val="32"/>
          <w:szCs w:val="32"/>
        </w:rPr>
        <w:t>可申报学校“春晖学者计划”，完成聘期任务后，经考核合格按照“春晖学者计划”兑现</w:t>
      </w:r>
      <w:r>
        <w:rPr>
          <w:rFonts w:hint="eastAsia" w:ascii="仿宋_GB2312" w:hAnsi="宋体" w:eastAsia="仿宋_GB2312" w:cs="宋体"/>
          <w:sz w:val="32"/>
          <w:szCs w:val="32"/>
          <w:lang w:val="en-US" w:eastAsia="zh-CN"/>
        </w:rPr>
        <w:t>相应</w:t>
      </w:r>
      <w:r>
        <w:rPr>
          <w:rFonts w:hint="eastAsia" w:ascii="仿宋_GB2312" w:hAnsi="宋体" w:eastAsia="仿宋_GB2312" w:cs="宋体"/>
          <w:sz w:val="32"/>
          <w:szCs w:val="32"/>
        </w:rPr>
        <w:t>待遇</w:t>
      </w:r>
      <w:r>
        <w:rPr>
          <w:rFonts w:hint="eastAsia" w:ascii="仿宋_GB2312" w:hAnsi="宋体" w:eastAsia="仿宋_GB2312" w:cs="宋体"/>
          <w:sz w:val="32"/>
          <w:szCs w:val="32"/>
          <w:lang w:eastAsia="zh-CN"/>
        </w:rPr>
        <w:t>：</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309"/>
        <w:gridCol w:w="4564"/>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78" w:type="pct"/>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jc w:val="center"/>
              <w:rPr>
                <w:rFonts w:ascii="仿宋_GB2312" w:hAnsi="宋体" w:eastAsia="仿宋_GB2312"/>
                <w:b/>
                <w:bCs/>
                <w:sz w:val="24"/>
              </w:rPr>
            </w:pPr>
            <w:r>
              <w:rPr>
                <w:rFonts w:hint="eastAsia" w:ascii="仿宋_GB2312" w:hAnsi="宋体" w:eastAsia="仿宋_GB2312" w:cs="仿宋"/>
                <w:b/>
                <w:bCs/>
                <w:sz w:val="24"/>
              </w:rPr>
              <w:t>项目</w:t>
            </w:r>
          </w:p>
          <w:p>
            <w:pPr>
              <w:pStyle w:val="3"/>
              <w:widowControl/>
              <w:wordWrap w:val="0"/>
              <w:spacing w:line="240" w:lineRule="atLeast"/>
              <w:jc w:val="center"/>
              <w:rPr>
                <w:rFonts w:ascii="仿宋_GB2312" w:hAnsi="宋体" w:eastAsia="仿宋_GB2312" w:cs="仿宋"/>
                <w:b/>
                <w:bCs/>
              </w:rPr>
            </w:pPr>
            <w:r>
              <w:rPr>
                <w:rFonts w:hint="eastAsia" w:ascii="仿宋_GB2312" w:hAnsi="宋体" w:eastAsia="仿宋_GB2312" w:cs="仿宋"/>
                <w:b/>
                <w:bCs/>
              </w:rPr>
              <w:t>类别</w:t>
            </w:r>
          </w:p>
        </w:tc>
        <w:tc>
          <w:tcPr>
            <w:tcW w:w="2678" w:type="pct"/>
            <w:tcBorders>
              <w:top w:val="single" w:color="auto" w:sz="4" w:space="0"/>
              <w:left w:val="single" w:color="auto" w:sz="4" w:space="0"/>
              <w:bottom w:val="single" w:color="auto" w:sz="4" w:space="0"/>
              <w:right w:val="single" w:color="auto" w:sz="4" w:space="0"/>
            </w:tcBorders>
            <w:vAlign w:val="center"/>
          </w:tcPr>
          <w:p>
            <w:pPr>
              <w:pStyle w:val="3"/>
              <w:widowControl/>
              <w:wordWrap w:val="0"/>
              <w:spacing w:before="100" w:after="100" w:line="240" w:lineRule="atLeast"/>
              <w:jc w:val="center"/>
              <w:rPr>
                <w:rFonts w:ascii="仿宋_GB2312" w:hAnsi="宋体" w:eastAsia="仿宋_GB2312" w:cs="Times New Roman"/>
                <w:b/>
                <w:bCs/>
                <w:color w:val="auto"/>
              </w:rPr>
            </w:pPr>
            <w:r>
              <w:rPr>
                <w:rFonts w:hint="eastAsia" w:ascii="仿宋_GB2312" w:hAnsi="宋体" w:eastAsia="仿宋_GB2312" w:cs="仿宋"/>
                <w:b/>
                <w:bCs/>
                <w:color w:val="auto"/>
              </w:rPr>
              <w:t>人才津贴</w:t>
            </w:r>
          </w:p>
        </w:tc>
        <w:tc>
          <w:tcPr>
            <w:tcW w:w="743" w:type="pct"/>
            <w:tcBorders>
              <w:top w:val="single" w:color="auto" w:sz="4" w:space="0"/>
              <w:left w:val="single" w:color="auto" w:sz="4" w:space="0"/>
              <w:bottom w:val="single" w:color="auto" w:sz="4" w:space="0"/>
              <w:right w:val="single" w:color="auto" w:sz="4" w:space="0"/>
            </w:tcBorders>
            <w:vAlign w:val="center"/>
          </w:tcPr>
          <w:p>
            <w:pPr>
              <w:pStyle w:val="3"/>
              <w:widowControl/>
              <w:wordWrap w:val="0"/>
              <w:spacing w:before="100" w:after="100" w:line="240" w:lineRule="atLeast"/>
              <w:jc w:val="center"/>
              <w:rPr>
                <w:rFonts w:hint="eastAsia" w:ascii="仿宋_GB2312" w:hAnsi="宋体" w:eastAsia="仿宋_GB2312" w:cs="仿宋"/>
                <w:b/>
                <w:bCs/>
                <w:color w:val="auto"/>
                <w:lang w:val="en-US" w:eastAsia="zh-CN"/>
              </w:rPr>
            </w:pPr>
            <w:r>
              <w:rPr>
                <w:rFonts w:hint="eastAsia" w:ascii="仿宋_GB2312" w:hAnsi="宋体" w:eastAsia="仿宋_GB2312" w:cs="仿宋"/>
                <w:b/>
                <w:bCs/>
                <w:color w:val="auto"/>
                <w:lang w:val="en-US" w:eastAsia="zh-CN"/>
              </w:rPr>
              <w:t>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0" w:type="pct"/>
            <w:vMerge w:val="restart"/>
            <w:tcBorders>
              <w:left w:val="single" w:color="auto" w:sz="4" w:space="0"/>
              <w:right w:val="single" w:color="auto" w:sz="4" w:space="0"/>
            </w:tcBorders>
            <w:vAlign w:val="center"/>
          </w:tcPr>
          <w:p>
            <w:pPr>
              <w:pStyle w:val="3"/>
              <w:widowControl/>
              <w:spacing w:line="495" w:lineRule="atLeast"/>
              <w:jc w:val="center"/>
              <w:rPr>
                <w:rFonts w:ascii="仿宋_GB2312" w:hAnsi="宋体" w:eastAsia="仿宋_GB2312" w:cs="Times New Roman"/>
              </w:rPr>
            </w:pPr>
            <w:r>
              <w:rPr>
                <w:rFonts w:hint="eastAsia" w:ascii="仿宋_GB2312" w:hAnsi="宋体" w:eastAsia="仿宋_GB2312" w:cs="Times New Roman"/>
              </w:rPr>
              <w:t>春晖学者计划</w:t>
            </w:r>
          </w:p>
        </w:tc>
        <w:tc>
          <w:tcPr>
            <w:tcW w:w="768" w:type="pct"/>
            <w:tcBorders>
              <w:top w:val="single" w:color="auto" w:sz="4" w:space="0"/>
              <w:left w:val="single" w:color="auto" w:sz="4" w:space="0"/>
              <w:right w:val="single" w:color="auto" w:sz="4" w:space="0"/>
            </w:tcBorders>
            <w:vAlign w:val="center"/>
          </w:tcPr>
          <w:p>
            <w:pPr>
              <w:pStyle w:val="3"/>
              <w:widowControl/>
              <w:spacing w:line="495" w:lineRule="atLeast"/>
              <w:jc w:val="center"/>
              <w:rPr>
                <w:rFonts w:ascii="仿宋_GB2312" w:hAnsi="宋体" w:eastAsia="仿宋_GB2312" w:cs="仿宋"/>
              </w:rPr>
            </w:pPr>
            <w:r>
              <w:rPr>
                <w:rFonts w:hint="eastAsia" w:ascii="仿宋_GB2312" w:hAnsi="宋体" w:eastAsia="仿宋_GB2312" w:cs="仿宋"/>
              </w:rPr>
              <w:t>A岗</w:t>
            </w:r>
          </w:p>
        </w:tc>
        <w:tc>
          <w:tcPr>
            <w:tcW w:w="2678" w:type="pct"/>
            <w:tcBorders>
              <w:top w:val="single" w:color="auto" w:sz="4" w:space="0"/>
              <w:left w:val="single" w:color="auto" w:sz="4" w:space="0"/>
              <w:bottom w:val="single" w:color="auto" w:sz="4" w:space="0"/>
              <w:right w:val="single" w:color="auto" w:sz="4" w:space="0"/>
            </w:tcBorders>
            <w:vAlign w:val="center"/>
          </w:tcPr>
          <w:p>
            <w:pPr>
              <w:pStyle w:val="3"/>
              <w:widowControl/>
              <w:spacing w:line="495" w:lineRule="atLeast"/>
              <w:jc w:val="center"/>
              <w:rPr>
                <w:rFonts w:ascii="仿宋_GB2312" w:hAnsi="宋体" w:eastAsia="仿宋_GB2312" w:cs="仿宋"/>
                <w:color w:val="auto"/>
              </w:rPr>
            </w:pPr>
            <w:r>
              <w:rPr>
                <w:rFonts w:hint="eastAsia" w:ascii="仿宋_GB2312" w:hAnsi="宋体" w:eastAsia="仿宋_GB2312" w:cs="仿宋"/>
                <w:color w:val="auto"/>
              </w:rPr>
              <w:t>40万/年</w:t>
            </w:r>
          </w:p>
        </w:tc>
        <w:tc>
          <w:tcPr>
            <w:tcW w:w="743" w:type="pct"/>
            <w:tcBorders>
              <w:top w:val="single" w:color="auto" w:sz="4" w:space="0"/>
              <w:left w:val="single" w:color="auto" w:sz="4" w:space="0"/>
              <w:bottom w:val="single" w:color="auto" w:sz="4" w:space="0"/>
              <w:right w:val="single" w:color="auto" w:sz="4" w:space="0"/>
            </w:tcBorders>
            <w:vAlign w:val="center"/>
          </w:tcPr>
          <w:p>
            <w:pPr>
              <w:pStyle w:val="3"/>
              <w:widowControl/>
              <w:spacing w:line="495" w:lineRule="atLeast"/>
              <w:jc w:val="center"/>
              <w:rPr>
                <w:rFonts w:hint="eastAsia" w:ascii="仿宋_GB2312" w:hAnsi="宋体" w:eastAsia="仿宋_GB2312" w:cs="仿宋"/>
                <w:color w:val="auto"/>
                <w:lang w:val="en-US" w:eastAsia="zh-CN"/>
              </w:rPr>
            </w:pPr>
            <w:r>
              <w:rPr>
                <w:rFonts w:hint="eastAsia" w:ascii="仿宋_GB2312" w:hAnsi="宋体" w:eastAsia="仿宋_GB2312" w:cs="仿宋"/>
                <w:color w:val="auto"/>
                <w:lang w:val="en-US" w:eastAsia="zh-CN"/>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0" w:type="pct"/>
            <w:vMerge w:val="continue"/>
            <w:tcBorders>
              <w:left w:val="single" w:color="auto" w:sz="4" w:space="0"/>
              <w:right w:val="single" w:color="auto" w:sz="4" w:space="0"/>
            </w:tcBorders>
            <w:vAlign w:val="center"/>
          </w:tcPr>
          <w:p>
            <w:pPr>
              <w:pStyle w:val="3"/>
              <w:widowControl/>
              <w:spacing w:line="495" w:lineRule="atLeast"/>
              <w:jc w:val="center"/>
              <w:rPr>
                <w:rFonts w:ascii="仿宋_GB2312" w:hAnsi="宋体" w:eastAsia="仿宋_GB2312" w:cs="Times New Roman"/>
              </w:rPr>
            </w:pPr>
          </w:p>
        </w:tc>
        <w:tc>
          <w:tcPr>
            <w:tcW w:w="768" w:type="pct"/>
            <w:tcBorders>
              <w:top w:val="single" w:color="auto" w:sz="4" w:space="0"/>
              <w:left w:val="single" w:color="auto" w:sz="4" w:space="0"/>
              <w:right w:val="single" w:color="auto" w:sz="4" w:space="0"/>
            </w:tcBorders>
            <w:vAlign w:val="center"/>
          </w:tcPr>
          <w:p>
            <w:pPr>
              <w:pStyle w:val="3"/>
              <w:widowControl/>
              <w:spacing w:line="495" w:lineRule="atLeast"/>
              <w:jc w:val="center"/>
              <w:rPr>
                <w:rFonts w:ascii="仿宋_GB2312" w:hAnsi="宋体" w:eastAsia="仿宋_GB2312" w:cs="仿宋"/>
              </w:rPr>
            </w:pPr>
            <w:r>
              <w:rPr>
                <w:rFonts w:hint="eastAsia" w:ascii="仿宋_GB2312" w:hAnsi="宋体" w:eastAsia="仿宋_GB2312" w:cs="仿宋"/>
              </w:rPr>
              <w:t>B岗</w:t>
            </w:r>
          </w:p>
        </w:tc>
        <w:tc>
          <w:tcPr>
            <w:tcW w:w="2678" w:type="pct"/>
            <w:tcBorders>
              <w:top w:val="single" w:color="auto" w:sz="4" w:space="0"/>
              <w:left w:val="single" w:color="auto" w:sz="4" w:space="0"/>
              <w:bottom w:val="single" w:color="auto" w:sz="4" w:space="0"/>
              <w:right w:val="single" w:color="auto" w:sz="4" w:space="0"/>
            </w:tcBorders>
            <w:vAlign w:val="center"/>
          </w:tcPr>
          <w:p>
            <w:pPr>
              <w:pStyle w:val="3"/>
              <w:widowControl/>
              <w:spacing w:line="495" w:lineRule="atLeast"/>
              <w:jc w:val="center"/>
              <w:rPr>
                <w:rFonts w:ascii="仿宋_GB2312" w:hAnsi="宋体" w:eastAsia="仿宋_GB2312" w:cs="仿宋"/>
                <w:color w:val="auto"/>
              </w:rPr>
            </w:pPr>
            <w:r>
              <w:rPr>
                <w:rFonts w:hint="eastAsia" w:ascii="仿宋_GB2312" w:hAnsi="宋体" w:eastAsia="仿宋_GB2312" w:cs="仿宋"/>
                <w:color w:val="auto"/>
              </w:rPr>
              <w:t>20万/年</w:t>
            </w:r>
          </w:p>
        </w:tc>
        <w:tc>
          <w:tcPr>
            <w:tcW w:w="743" w:type="pct"/>
            <w:tcBorders>
              <w:top w:val="single" w:color="auto" w:sz="4" w:space="0"/>
              <w:left w:val="single" w:color="auto" w:sz="4" w:space="0"/>
              <w:bottom w:val="single" w:color="auto" w:sz="4" w:space="0"/>
              <w:right w:val="single" w:color="auto" w:sz="4" w:space="0"/>
            </w:tcBorders>
            <w:vAlign w:val="center"/>
          </w:tcPr>
          <w:p>
            <w:pPr>
              <w:pStyle w:val="3"/>
              <w:widowControl/>
              <w:spacing w:line="495" w:lineRule="atLeast"/>
              <w:jc w:val="center"/>
              <w:rPr>
                <w:rFonts w:hint="eastAsia" w:ascii="仿宋_GB2312" w:hAnsi="宋体" w:eastAsia="仿宋_GB2312" w:cs="仿宋"/>
                <w:color w:val="auto"/>
              </w:rPr>
            </w:pPr>
            <w:r>
              <w:rPr>
                <w:rFonts w:hint="eastAsia" w:ascii="仿宋_GB2312" w:hAnsi="宋体" w:eastAsia="仿宋_GB2312" w:cs="仿宋"/>
                <w:color w:val="auto"/>
                <w:lang w:val="en-US" w:eastAsia="zh-CN"/>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0" w:type="pct"/>
            <w:vMerge w:val="continue"/>
            <w:tcBorders>
              <w:left w:val="single" w:color="auto" w:sz="4" w:space="0"/>
              <w:right w:val="single" w:color="auto" w:sz="4" w:space="0"/>
            </w:tcBorders>
            <w:vAlign w:val="center"/>
          </w:tcPr>
          <w:p>
            <w:pPr>
              <w:pStyle w:val="3"/>
              <w:widowControl/>
              <w:spacing w:line="495" w:lineRule="atLeast"/>
              <w:jc w:val="center"/>
              <w:rPr>
                <w:rFonts w:ascii="仿宋_GB2312" w:hAnsi="宋体" w:eastAsia="仿宋_GB2312" w:cs="Times New Roman"/>
              </w:rPr>
            </w:pPr>
          </w:p>
        </w:tc>
        <w:tc>
          <w:tcPr>
            <w:tcW w:w="768" w:type="pct"/>
            <w:tcBorders>
              <w:top w:val="single" w:color="auto" w:sz="4" w:space="0"/>
              <w:left w:val="single" w:color="auto" w:sz="4" w:space="0"/>
              <w:right w:val="single" w:color="auto" w:sz="4" w:space="0"/>
            </w:tcBorders>
            <w:vAlign w:val="center"/>
          </w:tcPr>
          <w:p>
            <w:pPr>
              <w:pStyle w:val="3"/>
              <w:widowControl/>
              <w:spacing w:line="495" w:lineRule="atLeast"/>
              <w:jc w:val="center"/>
              <w:rPr>
                <w:rFonts w:ascii="仿宋_GB2312" w:hAnsi="宋体" w:eastAsia="仿宋_GB2312" w:cs="仿宋"/>
              </w:rPr>
            </w:pPr>
            <w:r>
              <w:rPr>
                <w:rFonts w:hint="eastAsia" w:ascii="仿宋_GB2312" w:hAnsi="宋体" w:eastAsia="仿宋_GB2312" w:cs="仿宋"/>
              </w:rPr>
              <w:t>C岗</w:t>
            </w:r>
          </w:p>
        </w:tc>
        <w:tc>
          <w:tcPr>
            <w:tcW w:w="2678" w:type="pct"/>
            <w:tcBorders>
              <w:top w:val="single" w:color="auto" w:sz="4" w:space="0"/>
              <w:left w:val="single" w:color="auto" w:sz="4" w:space="0"/>
              <w:bottom w:val="single" w:color="auto" w:sz="4" w:space="0"/>
              <w:right w:val="single" w:color="auto" w:sz="4" w:space="0"/>
            </w:tcBorders>
            <w:vAlign w:val="center"/>
          </w:tcPr>
          <w:p>
            <w:pPr>
              <w:pStyle w:val="3"/>
              <w:widowControl/>
              <w:spacing w:line="495" w:lineRule="atLeast"/>
              <w:jc w:val="center"/>
              <w:rPr>
                <w:rFonts w:ascii="仿宋_GB2312" w:hAnsi="宋体" w:eastAsia="仿宋_GB2312" w:cs="仿宋"/>
                <w:color w:val="auto"/>
              </w:rPr>
            </w:pPr>
            <w:r>
              <w:rPr>
                <w:rFonts w:hint="eastAsia" w:ascii="仿宋_GB2312" w:hAnsi="宋体" w:eastAsia="仿宋_GB2312" w:cs="仿宋"/>
                <w:color w:val="auto"/>
              </w:rPr>
              <w:t>10万/年</w:t>
            </w:r>
          </w:p>
        </w:tc>
        <w:tc>
          <w:tcPr>
            <w:tcW w:w="743" w:type="pct"/>
            <w:tcBorders>
              <w:top w:val="single" w:color="auto" w:sz="4" w:space="0"/>
              <w:left w:val="single" w:color="auto" w:sz="4" w:space="0"/>
              <w:bottom w:val="single" w:color="auto" w:sz="4" w:space="0"/>
              <w:right w:val="single" w:color="auto" w:sz="4" w:space="0"/>
            </w:tcBorders>
            <w:vAlign w:val="center"/>
          </w:tcPr>
          <w:p>
            <w:pPr>
              <w:pStyle w:val="3"/>
              <w:widowControl/>
              <w:spacing w:line="495" w:lineRule="atLeast"/>
              <w:jc w:val="center"/>
              <w:rPr>
                <w:rFonts w:hint="eastAsia" w:ascii="仿宋_GB2312" w:hAnsi="宋体" w:eastAsia="仿宋_GB2312" w:cs="仿宋"/>
                <w:color w:val="auto"/>
              </w:rPr>
            </w:pPr>
            <w:r>
              <w:rPr>
                <w:rFonts w:hint="eastAsia" w:ascii="仿宋_GB2312" w:hAnsi="宋体" w:eastAsia="仿宋_GB2312" w:cs="仿宋"/>
                <w:color w:val="auto"/>
                <w:lang w:val="en-US" w:eastAsia="zh-CN"/>
              </w:rPr>
              <w:t>四年</w:t>
            </w:r>
          </w:p>
        </w:tc>
      </w:tr>
    </w:tbl>
    <w:p>
      <w:pPr>
        <w:spacing w:line="58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满足上述各类条件，且符合下列条件的博士研究生，可在上述基础安家费标准基础上，另外增加相应的安家费：</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博士毕业，具有正高职称的增加安家费10万元；博士毕业，具有副高职称的增加安家费5万元；博士毕业，博士后出站增加安家费5万元。</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夫妻双方均为博士的，每人各增加安家费5万元。</w:t>
      </w:r>
    </w:p>
    <w:p>
      <w:pPr>
        <w:spacing w:line="580" w:lineRule="exact"/>
        <w:ind w:firstLine="640" w:firstLineChars="200"/>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lang w:val="en-US" w:eastAsia="zh-CN"/>
        </w:rPr>
        <w:t>3.</w:t>
      </w:r>
      <w:r>
        <w:rPr>
          <w:rFonts w:hint="eastAsia" w:ascii="仿宋_GB2312" w:hAnsi="宋体" w:eastAsia="仿宋_GB2312" w:cs="宋体"/>
          <w:b w:val="0"/>
          <w:bCs w:val="0"/>
          <w:sz w:val="32"/>
          <w:szCs w:val="32"/>
        </w:rPr>
        <w:t>对音乐、体育、美术、外语、建筑、心理学等</w:t>
      </w:r>
      <w:r>
        <w:rPr>
          <w:rFonts w:hint="eastAsia" w:ascii="仿宋_GB2312" w:hAnsi="宋体" w:eastAsia="仿宋_GB2312" w:cs="宋体"/>
          <w:b w:val="0"/>
          <w:bCs w:val="0"/>
          <w:sz w:val="32"/>
          <w:szCs w:val="32"/>
          <w:lang w:val="en-US" w:eastAsia="zh-CN"/>
        </w:rPr>
        <w:t>急缺</w:t>
      </w:r>
      <w:r>
        <w:rPr>
          <w:rFonts w:hint="eastAsia" w:ascii="仿宋_GB2312" w:hAnsi="宋体" w:eastAsia="仿宋_GB2312" w:cs="宋体"/>
          <w:b w:val="0"/>
          <w:bCs w:val="0"/>
          <w:sz w:val="32"/>
          <w:szCs w:val="32"/>
        </w:rPr>
        <w:t>学科（专业）的博士</w:t>
      </w:r>
      <w:r>
        <w:rPr>
          <w:rFonts w:hint="eastAsia" w:ascii="仿宋_GB2312" w:hAnsi="宋体" w:eastAsia="仿宋_GB2312" w:cs="宋体"/>
          <w:b w:val="0"/>
          <w:bCs w:val="0"/>
          <w:sz w:val="32"/>
          <w:szCs w:val="32"/>
          <w:lang w:val="en-US" w:eastAsia="zh-CN"/>
        </w:rPr>
        <w:t>研究生</w:t>
      </w:r>
      <w:r>
        <w:rPr>
          <w:rFonts w:hint="eastAsia" w:ascii="仿宋_GB2312" w:hAnsi="宋体" w:eastAsia="仿宋_GB2312" w:cs="宋体"/>
          <w:b w:val="0"/>
          <w:bCs w:val="0"/>
          <w:sz w:val="32"/>
          <w:szCs w:val="32"/>
        </w:rPr>
        <w:t>，在基本安家费的基础上增加10万元。</w:t>
      </w:r>
    </w:p>
    <w:p>
      <w:pPr>
        <w:spacing w:line="580" w:lineRule="exact"/>
        <w:ind w:firstLine="640" w:firstLineChars="200"/>
        <w:rPr>
          <w:rFonts w:hint="default"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4.对认定为A类博士研究生，学术水平达到A类标准两倍及以上的，</w:t>
      </w:r>
      <w:r>
        <w:rPr>
          <w:rFonts w:hint="eastAsia" w:ascii="仿宋_GB2312" w:hAnsi="宋体" w:eastAsia="仿宋_GB2312" w:cs="宋体"/>
          <w:b w:val="0"/>
          <w:bCs w:val="0"/>
          <w:sz w:val="32"/>
          <w:szCs w:val="32"/>
        </w:rPr>
        <w:t>在基本安家费的基础上增加10万元。</w:t>
      </w:r>
    </w:p>
    <w:p>
      <w:pPr>
        <w:numPr>
          <w:ilvl w:val="0"/>
          <w:numId w:val="0"/>
        </w:numPr>
        <w:spacing w:line="58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三、工资待遇</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）引进人才按国家事业单位工资制度计发工资。</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rPr>
        <w:t>）引进博士若无高级职称，享受副教授（专业技术七级）校内工资待遇。</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rPr>
        <w:t>）博士研究生享受600元/月博士津贴。</w:t>
      </w:r>
    </w:p>
    <w:p>
      <w:pPr>
        <w:numPr>
          <w:ilvl w:val="0"/>
          <w:numId w:val="0"/>
        </w:numPr>
        <w:spacing w:line="58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四、住房</w:t>
      </w:r>
    </w:p>
    <w:p>
      <w:pPr>
        <w:spacing w:line="58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引进博士研究生（已购买学校住房的回校博士除外）提供100平方米左右周转住房一套，供其直接入住，5年内免租金；夫妻双方同为博士的，只享受一套住房，在住房标准上</w:t>
      </w:r>
      <w:r>
        <w:rPr>
          <w:rFonts w:hint="eastAsia" w:ascii="仿宋_GB2312" w:hAnsi="宋体" w:eastAsia="仿宋_GB2312" w:cs="宋体"/>
          <w:sz w:val="32"/>
          <w:szCs w:val="32"/>
          <w:lang w:val="en-US" w:eastAsia="zh-CN"/>
        </w:rPr>
        <w:t>可</w:t>
      </w:r>
      <w:r>
        <w:rPr>
          <w:rFonts w:hint="eastAsia" w:ascii="仿宋_GB2312" w:hAnsi="宋体" w:eastAsia="仿宋_GB2312" w:cs="宋体"/>
          <w:sz w:val="32"/>
          <w:szCs w:val="32"/>
        </w:rPr>
        <w:t>优先选择；不需要学校提供周转住房的，5年内享受1500元/月住房补贴。</w:t>
      </w:r>
    </w:p>
    <w:p>
      <w:pPr>
        <w:numPr>
          <w:ilvl w:val="0"/>
          <w:numId w:val="0"/>
        </w:numPr>
        <w:spacing w:line="58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五、配偶安置</w:t>
      </w:r>
    </w:p>
    <w:p>
      <w:pPr>
        <w:spacing w:line="58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博士配偶符合学校招聘条件的，参加学校专项公开招聘，同等情况下优先录用；配偶不符合招聘条件，学校以人事代理方式聘用，享受校内同等职级人员待遇。配偶不需要学校安置的，8年内享受500元/月交通补贴。</w:t>
      </w:r>
    </w:p>
    <w:p>
      <w:pPr>
        <w:spacing w:line="580" w:lineRule="exact"/>
        <w:ind w:firstLine="640" w:firstLineChars="200"/>
        <w:rPr>
          <w:rFonts w:ascii="仿宋_GB2312" w:hAnsi="宋体" w:eastAsia="仿宋_GB2312" w:cs="宋体"/>
          <w:b/>
          <w:bCs/>
          <w:sz w:val="32"/>
          <w:szCs w:val="32"/>
        </w:rPr>
      </w:pPr>
      <w:r>
        <w:rPr>
          <w:rFonts w:hint="eastAsia" w:ascii="黑体" w:hAnsi="黑体" w:eastAsia="黑体" w:cs="黑体"/>
          <w:b w:val="0"/>
          <w:bCs/>
          <w:sz w:val="32"/>
          <w:szCs w:val="32"/>
          <w:lang w:val="en-US" w:eastAsia="zh-CN"/>
        </w:rPr>
        <w:t>六、其他待遇</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）协助解决子女入园、入学问题。</w:t>
      </w:r>
    </w:p>
    <w:p>
      <w:pPr>
        <w:spacing w:line="580" w:lineRule="exact"/>
        <w:ind w:firstLine="640" w:firstLineChars="200"/>
        <w:rPr>
          <w:rFonts w:hint="eastAsia" w:ascii="黑体" w:hAnsi="黑体" w:eastAsia="黑体" w:cs="黑体"/>
          <w:sz w:val="32"/>
          <w:szCs w:val="32"/>
          <w:lang w:val="en-US" w:eastAsia="zh-CN"/>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rPr>
        <w:t>）来校面试的高层次人才或博士，学校按财务管理制度报销1次往返差旅费。</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4F2C"/>
    <w:rsid w:val="058E6D9A"/>
    <w:rsid w:val="08423B3B"/>
    <w:rsid w:val="0CB2237A"/>
    <w:rsid w:val="17A54E1E"/>
    <w:rsid w:val="17D119BB"/>
    <w:rsid w:val="1B4B6EA3"/>
    <w:rsid w:val="21694FDA"/>
    <w:rsid w:val="23084FBC"/>
    <w:rsid w:val="28881604"/>
    <w:rsid w:val="2E7B54F9"/>
    <w:rsid w:val="2EA25BD3"/>
    <w:rsid w:val="31B1475A"/>
    <w:rsid w:val="33184D73"/>
    <w:rsid w:val="35814335"/>
    <w:rsid w:val="3C581E7D"/>
    <w:rsid w:val="41F536AA"/>
    <w:rsid w:val="423F25E2"/>
    <w:rsid w:val="42E82253"/>
    <w:rsid w:val="45A47A80"/>
    <w:rsid w:val="46541A1B"/>
    <w:rsid w:val="48BB7086"/>
    <w:rsid w:val="5C5E46FB"/>
    <w:rsid w:val="606D3269"/>
    <w:rsid w:val="64600688"/>
    <w:rsid w:val="64F253B2"/>
    <w:rsid w:val="67EC5B5E"/>
    <w:rsid w:val="69692BAA"/>
    <w:rsid w:val="7E62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ascii="Calibri" w:hAnsi="Calibri" w:cs="Calibri"/>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2021-12-28T02:10:00Z</dcterms:created>
  <dc:creator>1</dc:creator>
  <cp:lastModifiedBy>WPS_1471406351</cp:lastModifiedBy>
  <cp:lastPrinted>2022-01-10T07:49:00Z</cp:lastPrinted>
  <dcterms:modified xsi:type="dcterms:W3CDTF">2022-01-25T10:07:30Z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F38486E51EFE4F6F9043557757E51D79</vt:lpwstr>
  </property>
</Properties>
</file>