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10"/>
        <w:jc w:val="center"/>
        <w:outlineLvl w:val="1"/>
        <w:rPr>
          <w:rFonts w:ascii="Microsoft YaHei UI" w:hAnsi="Microsoft YaHei UI" w:eastAsia="Microsoft YaHei UI" w:cs="宋体"/>
          <w:b/>
          <w:bCs/>
          <w:spacing w:val="8"/>
          <w:kern w:val="0"/>
          <w:sz w:val="33"/>
          <w:szCs w:val="33"/>
        </w:rPr>
      </w:pPr>
      <w:r>
        <w:rPr>
          <w:rFonts w:hint="eastAsia" w:ascii="Microsoft YaHei UI" w:hAnsi="Microsoft YaHei UI" w:eastAsia="Microsoft YaHei UI" w:cs="宋体"/>
          <w:b/>
          <w:bCs/>
          <w:spacing w:val="8"/>
          <w:kern w:val="0"/>
          <w:sz w:val="33"/>
          <w:szCs w:val="33"/>
        </w:rPr>
        <w:t>关于上海外国语大学附属浙江宏达南浔学校</w:t>
      </w:r>
    </w:p>
    <w:p>
      <w:pPr>
        <w:widowControl/>
        <w:shd w:val="clear" w:color="auto" w:fill="FFFFFF"/>
        <w:spacing w:after="210"/>
        <w:jc w:val="center"/>
        <w:outlineLvl w:val="1"/>
        <w:rPr>
          <w:rFonts w:ascii="Microsoft YaHei UI" w:hAnsi="Microsoft YaHei UI" w:eastAsia="Microsoft YaHei UI" w:cs="宋体"/>
          <w:b/>
          <w:bCs/>
          <w:spacing w:val="8"/>
          <w:kern w:val="0"/>
          <w:sz w:val="33"/>
          <w:szCs w:val="33"/>
        </w:rPr>
      </w:pPr>
      <w:r>
        <w:rPr>
          <w:rFonts w:hint="eastAsia" w:ascii="Microsoft YaHei UI" w:hAnsi="Microsoft YaHei UI" w:eastAsia="Microsoft YaHei UI" w:cs="宋体"/>
          <w:b/>
          <w:bCs/>
          <w:spacing w:val="8"/>
          <w:kern w:val="0"/>
          <w:sz w:val="33"/>
          <w:szCs w:val="33"/>
        </w:rPr>
        <w:t>招聘高层次优秀教育人才公告</w:t>
      </w:r>
    </w:p>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为进一步加强教师队伍建设，结合上海外国语大学附属浙江</w:t>
      </w:r>
      <w:r>
        <w:rPr>
          <w:rFonts w:ascii="宋体" w:hAnsi="宋体" w:eastAsia="宋体"/>
          <w:color w:val="auto"/>
          <w:sz w:val="24"/>
          <w:szCs w:val="24"/>
          <w:highlight w:val="none"/>
        </w:rPr>
        <w:t>宏达南浔学校发展需要</w:t>
      </w:r>
      <w:r>
        <w:rPr>
          <w:rFonts w:hint="eastAsia" w:ascii="宋体" w:hAnsi="宋体" w:eastAsia="宋体"/>
          <w:color w:val="auto"/>
          <w:sz w:val="24"/>
          <w:szCs w:val="24"/>
          <w:highlight w:val="none"/>
        </w:rPr>
        <w:t>，决定择优招聘高层次教育人才，具体事项公告如下。</w:t>
      </w:r>
    </w:p>
    <w:p>
      <w:pPr>
        <w:spacing w:line="300" w:lineRule="auto"/>
        <w:ind w:firstLine="482" w:firstLineChars="200"/>
        <w:rPr>
          <w:rFonts w:ascii="宋体" w:hAnsi="宋体" w:eastAsia="宋体"/>
          <w:b/>
          <w:bCs/>
          <w:color w:val="auto"/>
          <w:sz w:val="24"/>
          <w:szCs w:val="24"/>
          <w:highlight w:val="none"/>
        </w:rPr>
      </w:pPr>
      <w:r>
        <w:rPr>
          <w:rFonts w:ascii="宋体" w:hAnsi="宋体" w:eastAsia="宋体"/>
          <w:b/>
          <w:bCs/>
          <w:color w:val="auto"/>
          <w:sz w:val="24"/>
          <w:szCs w:val="24"/>
          <w:highlight w:val="none"/>
        </w:rPr>
        <w:t>一、招聘原则 </w:t>
      </w:r>
    </w:p>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坚持“公开、</w:t>
      </w:r>
      <w:r>
        <w:rPr>
          <w:rFonts w:hint="eastAsia" w:ascii="宋体" w:hAnsi="宋体" w:eastAsia="宋体"/>
          <w:color w:val="auto"/>
          <w:sz w:val="24"/>
          <w:szCs w:val="24"/>
          <w:highlight w:val="none"/>
        </w:rPr>
        <w:t>公平</w:t>
      </w:r>
      <w:r>
        <w:rPr>
          <w:rFonts w:ascii="宋体" w:hAnsi="宋体" w:eastAsia="宋体"/>
          <w:color w:val="auto"/>
          <w:sz w:val="24"/>
          <w:szCs w:val="24"/>
          <w:highlight w:val="none"/>
        </w:rPr>
        <w:t>、</w:t>
      </w:r>
      <w:r>
        <w:rPr>
          <w:rFonts w:hint="eastAsia" w:ascii="宋体" w:hAnsi="宋体" w:eastAsia="宋体"/>
          <w:color w:val="auto"/>
          <w:sz w:val="24"/>
          <w:szCs w:val="24"/>
          <w:highlight w:val="none"/>
        </w:rPr>
        <w:t>公正、</w:t>
      </w:r>
      <w:r>
        <w:rPr>
          <w:rFonts w:ascii="宋体" w:hAnsi="宋体" w:eastAsia="宋体"/>
          <w:color w:val="auto"/>
          <w:sz w:val="24"/>
          <w:szCs w:val="24"/>
          <w:highlight w:val="none"/>
        </w:rPr>
        <w:t>择优”的原则。 </w:t>
      </w:r>
    </w:p>
    <w:p>
      <w:pPr>
        <w:spacing w:line="300" w:lineRule="auto"/>
        <w:ind w:firstLine="482" w:firstLineChars="200"/>
        <w:rPr>
          <w:rFonts w:ascii="宋体" w:hAnsi="宋体" w:eastAsia="宋体"/>
          <w:b/>
          <w:bCs/>
          <w:color w:val="auto"/>
          <w:sz w:val="24"/>
          <w:szCs w:val="24"/>
          <w:highlight w:val="none"/>
        </w:rPr>
      </w:pPr>
      <w:r>
        <w:rPr>
          <w:rFonts w:ascii="宋体" w:hAnsi="宋体" w:eastAsia="宋体"/>
          <w:b/>
          <w:bCs/>
          <w:color w:val="auto"/>
          <w:sz w:val="24"/>
          <w:szCs w:val="24"/>
          <w:highlight w:val="none"/>
        </w:rPr>
        <w:t>二、招聘计划</w:t>
      </w:r>
    </w:p>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宏达南浔学校</w:t>
      </w:r>
      <w:r>
        <w:rPr>
          <w:rFonts w:hint="eastAsia" w:ascii="宋体" w:hAnsi="宋体" w:eastAsia="宋体"/>
          <w:color w:val="auto"/>
          <w:sz w:val="24"/>
          <w:szCs w:val="24"/>
          <w:highlight w:val="none"/>
        </w:rPr>
        <w:t>合同制</w:t>
      </w:r>
      <w:r>
        <w:rPr>
          <w:rFonts w:ascii="宋体" w:hAnsi="宋体" w:eastAsia="宋体"/>
          <w:color w:val="auto"/>
          <w:sz w:val="24"/>
          <w:szCs w:val="24"/>
          <w:highlight w:val="none"/>
        </w:rPr>
        <w:t>教师岗位27个。详见《宏达南浔学校招聘高层次</w:t>
      </w:r>
      <w:r>
        <w:rPr>
          <w:rFonts w:hint="eastAsia" w:ascii="宋体" w:hAnsi="宋体" w:eastAsia="宋体"/>
          <w:color w:val="auto"/>
          <w:sz w:val="24"/>
          <w:szCs w:val="24"/>
          <w:highlight w:val="none"/>
        </w:rPr>
        <w:t>教育</w:t>
      </w:r>
      <w:r>
        <w:rPr>
          <w:rFonts w:ascii="宋体" w:hAnsi="宋体" w:eastAsia="宋体"/>
          <w:color w:val="auto"/>
          <w:sz w:val="24"/>
          <w:szCs w:val="24"/>
          <w:highlight w:val="none"/>
        </w:rPr>
        <w:t>人才岗位计划表》（附件1）。</w:t>
      </w:r>
    </w:p>
    <w:p>
      <w:pPr>
        <w:spacing w:line="300" w:lineRule="auto"/>
        <w:ind w:firstLine="482" w:firstLineChars="200"/>
        <w:rPr>
          <w:rFonts w:ascii="宋体" w:hAnsi="宋体" w:eastAsia="宋体"/>
          <w:b/>
          <w:bCs/>
          <w:color w:val="auto"/>
          <w:sz w:val="24"/>
          <w:szCs w:val="24"/>
          <w:highlight w:val="none"/>
        </w:rPr>
      </w:pPr>
      <w:r>
        <w:rPr>
          <w:rFonts w:ascii="宋体" w:hAnsi="宋体" w:eastAsia="宋体"/>
          <w:b/>
          <w:bCs/>
          <w:color w:val="auto"/>
          <w:sz w:val="24"/>
          <w:szCs w:val="24"/>
          <w:highlight w:val="none"/>
        </w:rPr>
        <w:t>三、招聘对象</w:t>
      </w:r>
      <w:r>
        <w:rPr>
          <w:rFonts w:hint="eastAsia" w:ascii="宋体" w:hAnsi="宋体" w:eastAsia="宋体"/>
          <w:b/>
          <w:bCs/>
          <w:color w:val="auto"/>
          <w:sz w:val="24"/>
          <w:szCs w:val="24"/>
          <w:highlight w:val="none"/>
        </w:rPr>
        <w:t>及条件</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（一）名师类</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1.选聘对象</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1</w:t>
      </w:r>
      <w:r>
        <w:rPr>
          <w:rFonts w:hint="eastAsia" w:ascii="宋体" w:hAnsi="宋体" w:eastAsia="宋体"/>
          <w:color w:val="auto"/>
          <w:sz w:val="24"/>
          <w:szCs w:val="24"/>
          <w:highlight w:val="none"/>
        </w:rPr>
        <w:t>）</w:t>
      </w:r>
      <w:r>
        <w:rPr>
          <w:rFonts w:ascii="宋体" w:hAnsi="宋体" w:eastAsia="宋体"/>
          <w:color w:val="auto"/>
          <w:sz w:val="24"/>
          <w:szCs w:val="24"/>
          <w:highlight w:val="none"/>
        </w:rPr>
        <w:t>具有中华人民共和国国籍，身体健康。拥护中国共产党的领导，政治思想坚定，作风正派，无违法犯罪记录。</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2</w:t>
      </w:r>
      <w:r>
        <w:rPr>
          <w:rFonts w:hint="eastAsia" w:ascii="宋体" w:hAnsi="宋体" w:eastAsia="宋体"/>
          <w:color w:val="auto"/>
          <w:sz w:val="24"/>
          <w:szCs w:val="24"/>
          <w:highlight w:val="none"/>
        </w:rPr>
        <w:t>）</w:t>
      </w:r>
      <w:r>
        <w:rPr>
          <w:rFonts w:ascii="宋体" w:hAnsi="宋体" w:eastAsia="宋体"/>
          <w:color w:val="auto"/>
          <w:sz w:val="24"/>
          <w:szCs w:val="24"/>
          <w:highlight w:val="none"/>
        </w:rPr>
        <w:t>具有远大的教育理想、先进的教学理念、丰富的教学经验和优秀的组织能力。</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3</w:t>
      </w:r>
      <w:r>
        <w:rPr>
          <w:rFonts w:hint="eastAsia" w:ascii="宋体" w:hAnsi="宋体" w:eastAsia="宋体"/>
          <w:color w:val="auto"/>
          <w:sz w:val="24"/>
          <w:szCs w:val="24"/>
          <w:highlight w:val="none"/>
        </w:rPr>
        <w:t>）</w:t>
      </w:r>
      <w:r>
        <w:rPr>
          <w:rFonts w:ascii="宋体" w:hAnsi="宋体" w:eastAsia="宋体"/>
          <w:color w:val="auto"/>
          <w:sz w:val="24"/>
          <w:szCs w:val="24"/>
          <w:highlight w:val="none"/>
        </w:rPr>
        <w:t>持有相应学科的教师资格证和普通话证书</w:t>
      </w:r>
      <w:r>
        <w:rPr>
          <w:rFonts w:hint="eastAsia" w:ascii="宋体" w:hAnsi="宋体" w:eastAsia="宋体"/>
          <w:color w:val="auto"/>
          <w:sz w:val="24"/>
          <w:szCs w:val="24"/>
          <w:highlight w:val="none"/>
        </w:rPr>
        <w:t>（体育、艺术类教练可提供教练证明、专业技能证书）</w:t>
      </w:r>
      <w:r>
        <w:rPr>
          <w:rFonts w:ascii="宋体" w:hAnsi="宋体" w:eastAsia="宋体"/>
          <w:color w:val="auto"/>
          <w:sz w:val="24"/>
          <w:szCs w:val="24"/>
          <w:highlight w:val="none"/>
        </w:rPr>
        <w:t>。</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4</w:t>
      </w:r>
      <w:r>
        <w:rPr>
          <w:rFonts w:hint="eastAsia" w:ascii="宋体" w:hAnsi="宋体" w:eastAsia="宋体"/>
          <w:color w:val="auto"/>
          <w:sz w:val="24"/>
          <w:szCs w:val="24"/>
          <w:highlight w:val="none"/>
        </w:rPr>
        <w:t>）</w:t>
      </w:r>
      <w:r>
        <w:rPr>
          <w:rFonts w:ascii="宋体" w:hAnsi="宋体" w:eastAsia="宋体"/>
          <w:color w:val="auto"/>
          <w:sz w:val="24"/>
          <w:szCs w:val="24"/>
          <w:highlight w:val="none"/>
        </w:rPr>
        <w:t>身体健康，符合《浙江省教师资格体检标准》相关规定</w:t>
      </w:r>
      <w:r>
        <w:rPr>
          <w:rFonts w:hint="eastAsia" w:ascii="宋体" w:hAnsi="宋体" w:eastAsia="宋体"/>
          <w:color w:val="auto"/>
          <w:sz w:val="24"/>
          <w:szCs w:val="24"/>
          <w:highlight w:val="none"/>
        </w:rPr>
        <w:t>，</w:t>
      </w:r>
      <w:r>
        <w:rPr>
          <w:rFonts w:ascii="宋体" w:hAnsi="宋体" w:eastAsia="宋体"/>
          <w:color w:val="auto"/>
          <w:sz w:val="24"/>
          <w:szCs w:val="24"/>
          <w:highlight w:val="none"/>
        </w:rPr>
        <w:t>年龄在</w:t>
      </w:r>
      <w:r>
        <w:rPr>
          <w:rFonts w:hint="eastAsia" w:ascii="宋体" w:hAnsi="宋体" w:eastAsia="宋体"/>
          <w:color w:val="auto"/>
          <w:sz w:val="24"/>
          <w:szCs w:val="24"/>
          <w:highlight w:val="none"/>
        </w:rPr>
        <w:t>4</w:t>
      </w:r>
      <w:r>
        <w:rPr>
          <w:rFonts w:ascii="宋体" w:hAnsi="宋体" w:eastAsia="宋体"/>
          <w:color w:val="auto"/>
          <w:sz w:val="24"/>
          <w:szCs w:val="24"/>
          <w:highlight w:val="none"/>
        </w:rPr>
        <w:t>0周岁及以下</w:t>
      </w:r>
      <w:r>
        <w:rPr>
          <w:rFonts w:hint="eastAsia" w:ascii="宋体" w:hAnsi="宋体" w:eastAsia="宋体"/>
          <w:color w:val="auto"/>
          <w:sz w:val="24"/>
          <w:szCs w:val="24"/>
          <w:highlight w:val="none"/>
        </w:rPr>
        <w:t>（</w:t>
      </w:r>
      <w:r>
        <w:rPr>
          <w:rFonts w:ascii="宋体" w:hAnsi="宋体" w:eastAsia="宋体"/>
          <w:color w:val="auto"/>
          <w:sz w:val="24"/>
          <w:szCs w:val="24"/>
          <w:highlight w:val="none"/>
        </w:rPr>
        <w:t>具有博士研究生学历</w:t>
      </w:r>
      <w:r>
        <w:rPr>
          <w:rFonts w:hint="eastAsia" w:ascii="宋体" w:hAnsi="宋体" w:eastAsia="宋体"/>
          <w:color w:val="auto"/>
          <w:sz w:val="24"/>
          <w:szCs w:val="24"/>
          <w:highlight w:val="none"/>
        </w:rPr>
        <w:t>/</w:t>
      </w:r>
      <w:r>
        <w:rPr>
          <w:rFonts w:ascii="宋体" w:hAnsi="宋体" w:eastAsia="宋体"/>
          <w:color w:val="auto"/>
          <w:sz w:val="24"/>
          <w:szCs w:val="24"/>
          <w:highlight w:val="none"/>
        </w:rPr>
        <w:t>学位或副高级专业技术资格的人员年龄一般在45周岁以下，具有正高级专业技术资格的人员、紧缺特殊人才、高技能人才，年龄可适当放宽</w:t>
      </w:r>
      <w:r>
        <w:rPr>
          <w:rFonts w:hint="eastAsia" w:ascii="宋体" w:hAnsi="宋体" w:eastAsia="宋体"/>
          <w:color w:val="auto"/>
          <w:sz w:val="24"/>
          <w:szCs w:val="24"/>
          <w:highlight w:val="none"/>
        </w:rPr>
        <w:t>）。</w:t>
      </w:r>
    </w:p>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尚未解除纪律处分或者正在接受纪律审查的人员、受过刑事处罚或者涉嫌违法犯罪正在接受调查的人员，以及国家和省另有规定不得应聘到事业单位有关岗位的人员，不接受应聘。</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2.选聘条件</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获得大学本科及以上学历，且须符合以下条件其中一条：</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1）省特级教师或正高级专业技术职称教师；</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2）指导学生在省级</w:t>
      </w:r>
      <w:r>
        <w:rPr>
          <w:rFonts w:hint="eastAsia" w:ascii="宋体" w:hAnsi="宋体" w:eastAsia="宋体"/>
          <w:color w:val="auto"/>
          <w:sz w:val="24"/>
          <w:szCs w:val="24"/>
          <w:highlight w:val="none"/>
        </w:rPr>
        <w:t>及</w:t>
      </w:r>
      <w:r>
        <w:rPr>
          <w:rFonts w:ascii="宋体" w:hAnsi="宋体" w:eastAsia="宋体"/>
          <w:color w:val="auto"/>
          <w:sz w:val="24"/>
          <w:szCs w:val="24"/>
          <w:highlight w:val="none"/>
        </w:rPr>
        <w:t>以上</w:t>
      </w:r>
      <w:r>
        <w:rPr>
          <w:rFonts w:hint="eastAsia" w:ascii="宋体" w:hAnsi="宋体" w:eastAsia="宋体"/>
          <w:color w:val="auto"/>
          <w:sz w:val="24"/>
          <w:szCs w:val="24"/>
          <w:highlight w:val="none"/>
        </w:rPr>
        <w:t>人工智能、科技发明、航天航空、</w:t>
      </w:r>
      <w:r>
        <w:rPr>
          <w:rFonts w:ascii="宋体" w:hAnsi="宋体" w:eastAsia="宋体"/>
          <w:color w:val="auto"/>
          <w:sz w:val="24"/>
          <w:szCs w:val="24"/>
          <w:highlight w:val="none"/>
        </w:rPr>
        <w:t>信息</w:t>
      </w:r>
      <w:r>
        <w:rPr>
          <w:rFonts w:hint="eastAsia" w:ascii="宋体" w:hAnsi="宋体" w:eastAsia="宋体"/>
          <w:color w:val="auto"/>
          <w:sz w:val="24"/>
          <w:szCs w:val="24"/>
          <w:highlight w:val="none"/>
        </w:rPr>
        <w:t>技术</w:t>
      </w:r>
      <w:r>
        <w:rPr>
          <w:rFonts w:ascii="宋体" w:hAnsi="宋体" w:eastAsia="宋体"/>
          <w:color w:val="auto"/>
          <w:sz w:val="24"/>
          <w:szCs w:val="24"/>
          <w:highlight w:val="none"/>
        </w:rPr>
        <w:t>等</w:t>
      </w:r>
      <w:r>
        <w:rPr>
          <w:rFonts w:hint="eastAsia" w:ascii="宋体" w:hAnsi="宋体" w:eastAsia="宋体"/>
          <w:color w:val="auto"/>
          <w:sz w:val="24"/>
          <w:szCs w:val="24"/>
          <w:highlight w:val="none"/>
        </w:rPr>
        <w:t>领域</w:t>
      </w:r>
      <w:r>
        <w:rPr>
          <w:rFonts w:ascii="宋体" w:hAnsi="宋体" w:eastAsia="宋体"/>
          <w:color w:val="auto"/>
          <w:sz w:val="24"/>
          <w:szCs w:val="24"/>
          <w:highlight w:val="none"/>
        </w:rPr>
        <w:t>类竞赛（具体项目以教育部办公厅公布的《面向中小学生的全国性竞赛活动的通知》为准）获得金牌且为主要指导教师；</w:t>
      </w:r>
      <w:r>
        <w:rPr>
          <w:rFonts w:hint="eastAsia" w:ascii="宋体" w:hAnsi="宋体" w:eastAsia="宋体"/>
          <w:color w:val="auto"/>
          <w:sz w:val="24"/>
          <w:szCs w:val="24"/>
          <w:highlight w:val="none"/>
        </w:rPr>
        <w:t>体育、艺术类省队教练或优秀主力；</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3）获省级课堂教学评比一等奖及以上；</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4）获地市级及以上名师或荣誉称号。</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（二）高层次优秀毕业生类</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1.选聘对象</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1</w:t>
      </w:r>
      <w:r>
        <w:rPr>
          <w:rFonts w:hint="eastAsia" w:ascii="宋体" w:hAnsi="宋体" w:eastAsia="宋体"/>
          <w:color w:val="auto"/>
          <w:sz w:val="24"/>
          <w:szCs w:val="24"/>
          <w:highlight w:val="none"/>
        </w:rPr>
        <w:t>）</w:t>
      </w:r>
      <w:r>
        <w:rPr>
          <w:rFonts w:ascii="宋体" w:hAnsi="宋体" w:eastAsia="宋体"/>
          <w:color w:val="auto"/>
          <w:sz w:val="24"/>
          <w:szCs w:val="24"/>
          <w:highlight w:val="none"/>
        </w:rPr>
        <w:t>全日制</w:t>
      </w:r>
      <w:r>
        <w:rPr>
          <w:rFonts w:hint="eastAsia" w:ascii="宋体" w:hAnsi="宋体" w:eastAsia="宋体"/>
          <w:color w:val="auto"/>
          <w:sz w:val="24"/>
          <w:szCs w:val="24"/>
          <w:highlight w:val="none"/>
        </w:rPr>
        <w:t>普通高校毕业的取得学历学位证书</w:t>
      </w:r>
      <w:r>
        <w:rPr>
          <w:rFonts w:ascii="宋体" w:hAnsi="宋体" w:eastAsia="宋体"/>
          <w:color w:val="auto"/>
          <w:sz w:val="24"/>
          <w:szCs w:val="24"/>
          <w:highlight w:val="none"/>
        </w:rPr>
        <w:t>2020、2021</w:t>
      </w:r>
      <w:r>
        <w:rPr>
          <w:rFonts w:hint="eastAsia" w:ascii="宋体" w:hAnsi="宋体" w:eastAsia="宋体"/>
          <w:color w:val="auto"/>
          <w:sz w:val="24"/>
          <w:szCs w:val="24"/>
          <w:highlight w:val="none"/>
        </w:rPr>
        <w:t>、</w:t>
      </w:r>
      <w:r>
        <w:rPr>
          <w:rFonts w:ascii="宋体" w:hAnsi="宋体" w:eastAsia="宋体"/>
          <w:color w:val="auto"/>
          <w:sz w:val="24"/>
          <w:szCs w:val="24"/>
          <w:highlight w:val="none"/>
        </w:rPr>
        <w:t>2022届硕士或博士研究生，其本科专业为师范类或研究生专业为教育方向</w:t>
      </w:r>
      <w:r>
        <w:rPr>
          <w:rFonts w:hint="eastAsia" w:ascii="宋体" w:hAnsi="宋体" w:eastAsia="宋体"/>
          <w:color w:val="auto"/>
          <w:sz w:val="24"/>
          <w:szCs w:val="24"/>
          <w:highlight w:val="none"/>
        </w:rPr>
        <w:t>；</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2</w:t>
      </w:r>
      <w:r>
        <w:rPr>
          <w:rFonts w:hint="eastAsia" w:ascii="宋体" w:hAnsi="宋体" w:eastAsia="宋体"/>
          <w:color w:val="auto"/>
          <w:sz w:val="24"/>
          <w:szCs w:val="24"/>
          <w:highlight w:val="none"/>
        </w:rPr>
        <w:t>）本科为“双一流”建设高校、建设学科或原</w:t>
      </w:r>
      <w:r>
        <w:rPr>
          <w:rFonts w:ascii="宋体" w:hAnsi="宋体" w:eastAsia="宋体"/>
          <w:color w:val="auto"/>
          <w:sz w:val="24"/>
          <w:szCs w:val="24"/>
          <w:highlight w:val="none"/>
        </w:rPr>
        <w:t>985、211高校的2020、2021</w:t>
      </w:r>
      <w:r>
        <w:rPr>
          <w:rFonts w:hint="eastAsia" w:ascii="宋体" w:hAnsi="宋体" w:eastAsia="宋体"/>
          <w:color w:val="auto"/>
          <w:sz w:val="24"/>
          <w:szCs w:val="24"/>
          <w:highlight w:val="none"/>
        </w:rPr>
        <w:t>、</w:t>
      </w:r>
      <w:r>
        <w:rPr>
          <w:rFonts w:ascii="宋体" w:hAnsi="宋体" w:eastAsia="宋体"/>
          <w:color w:val="auto"/>
          <w:sz w:val="24"/>
          <w:szCs w:val="24"/>
          <w:highlight w:val="none"/>
        </w:rPr>
        <w:t>2022届全日制</w:t>
      </w:r>
      <w:r>
        <w:rPr>
          <w:rFonts w:hint="eastAsia" w:ascii="宋体" w:hAnsi="宋体" w:eastAsia="宋体"/>
          <w:color w:val="auto"/>
          <w:sz w:val="24"/>
          <w:szCs w:val="24"/>
          <w:highlight w:val="none"/>
        </w:rPr>
        <w:t>优秀</w:t>
      </w:r>
      <w:r>
        <w:rPr>
          <w:rFonts w:ascii="宋体" w:hAnsi="宋体" w:eastAsia="宋体"/>
          <w:color w:val="auto"/>
          <w:sz w:val="24"/>
          <w:szCs w:val="24"/>
          <w:highlight w:val="none"/>
        </w:rPr>
        <w:t>毕业生；</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3</w:t>
      </w:r>
      <w:r>
        <w:rPr>
          <w:rFonts w:hint="eastAsia" w:ascii="宋体" w:hAnsi="宋体" w:eastAsia="宋体"/>
          <w:color w:val="auto"/>
          <w:sz w:val="24"/>
          <w:szCs w:val="24"/>
          <w:highlight w:val="none"/>
        </w:rPr>
        <w:t>）全日制普通高校本科毕业的</w:t>
      </w:r>
      <w:r>
        <w:rPr>
          <w:rFonts w:ascii="宋体" w:hAnsi="宋体" w:eastAsia="宋体"/>
          <w:color w:val="auto"/>
          <w:sz w:val="24"/>
          <w:szCs w:val="24"/>
          <w:highlight w:val="none"/>
        </w:rPr>
        <w:t>2020、2021</w:t>
      </w:r>
      <w:r>
        <w:rPr>
          <w:rFonts w:hint="eastAsia" w:ascii="宋体" w:hAnsi="宋体" w:eastAsia="宋体"/>
          <w:color w:val="auto"/>
          <w:sz w:val="24"/>
          <w:szCs w:val="24"/>
          <w:highlight w:val="none"/>
        </w:rPr>
        <w:t>、</w:t>
      </w:r>
      <w:r>
        <w:rPr>
          <w:rFonts w:ascii="宋体" w:hAnsi="宋体" w:eastAsia="宋体"/>
          <w:color w:val="auto"/>
          <w:sz w:val="24"/>
          <w:szCs w:val="24"/>
          <w:highlight w:val="none"/>
        </w:rPr>
        <w:t>2022届师范类</w:t>
      </w:r>
      <w:r>
        <w:rPr>
          <w:rFonts w:hint="eastAsia" w:ascii="宋体" w:hAnsi="宋体" w:eastAsia="宋体"/>
          <w:color w:val="auto"/>
          <w:sz w:val="24"/>
          <w:szCs w:val="24"/>
          <w:highlight w:val="none"/>
        </w:rPr>
        <w:t>优秀</w:t>
      </w:r>
      <w:r>
        <w:rPr>
          <w:rFonts w:ascii="宋体" w:hAnsi="宋体" w:eastAsia="宋体"/>
          <w:color w:val="auto"/>
          <w:sz w:val="24"/>
          <w:szCs w:val="24"/>
          <w:highlight w:val="none"/>
        </w:rPr>
        <w:t>毕业生</w:t>
      </w:r>
      <w:r>
        <w:rPr>
          <w:rFonts w:hint="eastAsia" w:ascii="宋体" w:hAnsi="宋体" w:eastAsia="宋体"/>
          <w:color w:val="auto"/>
          <w:sz w:val="24"/>
          <w:szCs w:val="24"/>
          <w:highlight w:val="none"/>
        </w:rPr>
        <w:t>。</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2.选聘条件</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以上招聘对象中，第一类招聘对象需符合下列“基本条件”，第二、三类招聘对象在符合“基本条件”的前提下，还需符合“资格条件”中的其中一项。</w:t>
      </w:r>
    </w:p>
    <w:p>
      <w:pPr>
        <w:pStyle w:val="13"/>
        <w:numPr>
          <w:ilvl w:val="0"/>
          <w:numId w:val="1"/>
        </w:numPr>
        <w:spacing w:line="300" w:lineRule="auto"/>
        <w:ind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基本条件</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1</w:t>
      </w:r>
      <w:r>
        <w:rPr>
          <w:rFonts w:hint="eastAsia" w:ascii="宋体" w:hAnsi="宋体" w:eastAsia="宋体"/>
          <w:color w:val="auto"/>
          <w:sz w:val="24"/>
          <w:szCs w:val="24"/>
          <w:highlight w:val="none"/>
        </w:rPr>
        <w:t>）</w:t>
      </w:r>
      <w:r>
        <w:rPr>
          <w:rFonts w:ascii="宋体" w:hAnsi="宋体" w:eastAsia="宋体"/>
          <w:color w:val="auto"/>
          <w:sz w:val="24"/>
          <w:szCs w:val="24"/>
          <w:highlight w:val="none"/>
        </w:rPr>
        <w:t>具有中华人民共和国国籍，且无取得外国国籍或获取国（境）外永久居留资格、长期居留许可等情况；</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2</w:t>
      </w:r>
      <w:r>
        <w:rPr>
          <w:rFonts w:hint="eastAsia" w:ascii="宋体" w:hAnsi="宋体" w:eastAsia="宋体"/>
          <w:color w:val="auto"/>
          <w:sz w:val="24"/>
          <w:szCs w:val="24"/>
          <w:highlight w:val="none"/>
        </w:rPr>
        <w:t>）</w:t>
      </w:r>
      <w:r>
        <w:rPr>
          <w:rFonts w:ascii="宋体" w:hAnsi="宋体" w:eastAsia="宋体"/>
          <w:color w:val="auto"/>
          <w:sz w:val="24"/>
          <w:szCs w:val="24"/>
          <w:highlight w:val="none"/>
        </w:rPr>
        <w:t>政治思想表现好，热爱教育事业，品行端正，遵纪守法，无不良行为记录；</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3</w:t>
      </w:r>
      <w:r>
        <w:rPr>
          <w:rFonts w:hint="eastAsia" w:ascii="宋体" w:hAnsi="宋体" w:eastAsia="宋体"/>
          <w:color w:val="auto"/>
          <w:sz w:val="24"/>
          <w:szCs w:val="24"/>
          <w:highlight w:val="none"/>
        </w:rPr>
        <w:t>）</w:t>
      </w:r>
      <w:r>
        <w:rPr>
          <w:rFonts w:ascii="宋体" w:hAnsi="宋体" w:eastAsia="宋体"/>
          <w:color w:val="auto"/>
          <w:sz w:val="24"/>
          <w:szCs w:val="24"/>
          <w:highlight w:val="none"/>
        </w:rPr>
        <w:t>五官端正，身心健康，语言表达能力强，书写清晰美观，且体检符合要求；</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4</w:t>
      </w:r>
      <w:r>
        <w:rPr>
          <w:rFonts w:hint="eastAsia" w:ascii="宋体" w:hAnsi="宋体" w:eastAsia="宋体"/>
          <w:color w:val="auto"/>
          <w:sz w:val="24"/>
          <w:szCs w:val="24"/>
          <w:highlight w:val="none"/>
        </w:rPr>
        <w:t>）</w:t>
      </w:r>
      <w:r>
        <w:rPr>
          <w:rFonts w:ascii="宋体" w:hAnsi="宋体" w:eastAsia="宋体"/>
          <w:color w:val="auto"/>
          <w:sz w:val="24"/>
          <w:szCs w:val="24"/>
          <w:highlight w:val="none"/>
        </w:rPr>
        <w:t>所学专业与招录岗位专业基本对口，具有相应的中小学教师资格证或中小学教师资格考试合格证明和相应的普通话证书（二级乙等及以上，申报语文学科须二级甲等及以上）；</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5</w:t>
      </w:r>
      <w:r>
        <w:rPr>
          <w:rFonts w:hint="eastAsia" w:ascii="宋体" w:hAnsi="宋体" w:eastAsia="宋体"/>
          <w:color w:val="auto"/>
          <w:sz w:val="24"/>
          <w:szCs w:val="24"/>
          <w:highlight w:val="none"/>
        </w:rPr>
        <w:t>）</w:t>
      </w:r>
      <w:r>
        <w:rPr>
          <w:rFonts w:ascii="宋体" w:hAnsi="宋体" w:eastAsia="宋体"/>
          <w:color w:val="auto"/>
          <w:sz w:val="24"/>
          <w:szCs w:val="24"/>
          <w:highlight w:val="none"/>
        </w:rPr>
        <w:t>年龄在35周岁及以下（1987年3月1日及以后出生</w:t>
      </w:r>
      <w:r>
        <w:rPr>
          <w:rFonts w:hint="eastAsia" w:ascii="宋体" w:hAnsi="宋体" w:eastAsia="宋体"/>
          <w:color w:val="auto"/>
          <w:sz w:val="24"/>
          <w:szCs w:val="24"/>
          <w:highlight w:val="none"/>
        </w:rPr>
        <w:t>，特别优秀的可适当放宽</w:t>
      </w:r>
      <w:r>
        <w:rPr>
          <w:rFonts w:ascii="宋体" w:hAnsi="宋体" w:eastAsia="宋体"/>
          <w:color w:val="auto"/>
          <w:sz w:val="24"/>
          <w:szCs w:val="24"/>
          <w:highlight w:val="none"/>
        </w:rPr>
        <w:t>）。</w:t>
      </w:r>
    </w:p>
    <w:p>
      <w:pPr>
        <w:pStyle w:val="13"/>
        <w:numPr>
          <w:ilvl w:val="0"/>
          <w:numId w:val="1"/>
        </w:numPr>
        <w:spacing w:line="300" w:lineRule="auto"/>
        <w:ind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资格条件（以下条件符合其中一项即可）</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1</w:t>
      </w:r>
      <w:r>
        <w:rPr>
          <w:rFonts w:hint="eastAsia" w:ascii="宋体" w:hAnsi="宋体" w:eastAsia="宋体"/>
          <w:color w:val="auto"/>
          <w:sz w:val="24"/>
          <w:szCs w:val="24"/>
          <w:highlight w:val="none"/>
        </w:rPr>
        <w:t>）</w:t>
      </w:r>
      <w:r>
        <w:rPr>
          <w:rFonts w:ascii="宋体" w:hAnsi="宋体" w:eastAsia="宋体"/>
          <w:color w:val="auto"/>
          <w:sz w:val="24"/>
          <w:szCs w:val="24"/>
          <w:highlight w:val="none"/>
        </w:rPr>
        <w:t>本科学习期间获得过分院及以上综合荣誉称号（具体指优秀毕业生、三好学生、优秀学生、优秀学生干部、优秀团干部、优秀共青团员或优秀共产党员）；</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2</w:t>
      </w:r>
      <w:r>
        <w:rPr>
          <w:rFonts w:hint="eastAsia" w:ascii="宋体" w:hAnsi="宋体" w:eastAsia="宋体"/>
          <w:color w:val="auto"/>
          <w:sz w:val="24"/>
          <w:szCs w:val="24"/>
          <w:highlight w:val="none"/>
        </w:rPr>
        <w:t>）</w:t>
      </w:r>
      <w:r>
        <w:rPr>
          <w:rFonts w:ascii="宋体" w:hAnsi="宋体" w:eastAsia="宋体"/>
          <w:color w:val="auto"/>
          <w:sz w:val="24"/>
          <w:szCs w:val="24"/>
          <w:highlight w:val="none"/>
        </w:rPr>
        <w:t>本科学习期间获得过国家奖学金、省政府奖学金、国家励志奖学金、校级综合</w:t>
      </w:r>
      <w:r>
        <w:rPr>
          <w:rFonts w:hint="eastAsia" w:ascii="宋体" w:hAnsi="宋体" w:eastAsia="宋体"/>
          <w:color w:val="auto"/>
          <w:sz w:val="24"/>
          <w:szCs w:val="24"/>
          <w:highlight w:val="none"/>
        </w:rPr>
        <w:t>二</w:t>
      </w:r>
      <w:r>
        <w:rPr>
          <w:rFonts w:ascii="宋体" w:hAnsi="宋体" w:eastAsia="宋体"/>
          <w:color w:val="auto"/>
          <w:sz w:val="24"/>
          <w:szCs w:val="24"/>
          <w:highlight w:val="none"/>
        </w:rPr>
        <w:t>等及以上奖学金1次及以上（校级综合奖学金次数均按学年计算，学期奖学金按1/2计）；</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3</w:t>
      </w:r>
      <w:r>
        <w:rPr>
          <w:rFonts w:hint="eastAsia" w:ascii="宋体" w:hAnsi="宋体" w:eastAsia="宋体"/>
          <w:color w:val="auto"/>
          <w:sz w:val="24"/>
          <w:szCs w:val="24"/>
          <w:highlight w:val="none"/>
        </w:rPr>
        <w:t>）</w:t>
      </w:r>
      <w:r>
        <w:rPr>
          <w:rFonts w:ascii="宋体" w:hAnsi="宋体" w:eastAsia="宋体"/>
          <w:color w:val="auto"/>
          <w:sz w:val="24"/>
          <w:szCs w:val="24"/>
          <w:highlight w:val="none"/>
        </w:rPr>
        <w:t>本科学习期间担任过校、分院学团组织领导职务（具体指校级学生会主席、副主席、各部正副部长；分院学生会主席、副主席、各部正部长；校社管会主席、副主席、各部正副部长；分院社管会主席、副主席、各部正部长；校团委委员、各部正副部长；分院团委委员、各部正部长）连续1年及以上；</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4</w:t>
      </w:r>
      <w:r>
        <w:rPr>
          <w:rFonts w:hint="eastAsia" w:ascii="宋体" w:hAnsi="宋体" w:eastAsia="宋体"/>
          <w:color w:val="auto"/>
          <w:sz w:val="24"/>
          <w:szCs w:val="24"/>
          <w:highlight w:val="none"/>
        </w:rPr>
        <w:t>）</w:t>
      </w:r>
      <w:r>
        <w:rPr>
          <w:rFonts w:ascii="宋体" w:hAnsi="宋体" w:eastAsia="宋体"/>
          <w:color w:val="auto"/>
          <w:sz w:val="24"/>
          <w:szCs w:val="24"/>
          <w:highlight w:val="none"/>
        </w:rPr>
        <w:t>本科学习期间获得过校级或省级高校师范生教学技能竞赛三等奖及以上；</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5</w:t>
      </w:r>
      <w:r>
        <w:rPr>
          <w:rFonts w:hint="eastAsia" w:ascii="宋体" w:hAnsi="宋体" w:eastAsia="宋体"/>
          <w:color w:val="auto"/>
          <w:sz w:val="24"/>
          <w:szCs w:val="24"/>
          <w:highlight w:val="none"/>
        </w:rPr>
        <w:t>）</w:t>
      </w:r>
      <w:r>
        <w:rPr>
          <w:rFonts w:ascii="宋体" w:hAnsi="宋体" w:eastAsia="宋体"/>
          <w:color w:val="auto"/>
          <w:sz w:val="24"/>
          <w:szCs w:val="24"/>
          <w:highlight w:val="none"/>
        </w:rPr>
        <w:t>本科学习期间个人参加与招聘岗位对应的由省级及以上行政部门或专业学会（协会）组织的专业类竞赛省级三等奖及以上（或前八名）。</w:t>
      </w:r>
    </w:p>
    <w:p>
      <w:pPr>
        <w:spacing w:line="30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四、招聘程序和方法</w:t>
      </w:r>
    </w:p>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(一)报名</w:t>
      </w:r>
    </w:p>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1.网上报名，面谈时对报名材料进行现场资格审查，每人限报一个岗位。</w:t>
      </w:r>
    </w:p>
    <w:p>
      <w:pPr>
        <w:spacing w:line="300" w:lineRule="auto"/>
        <w:ind w:firstLine="420" w:firstLineChars="200"/>
        <w:rPr>
          <w:rFonts w:ascii="宋体" w:hAnsi="宋体" w:eastAsia="宋体"/>
          <w:color w:val="auto"/>
          <w:sz w:val="24"/>
          <w:szCs w:val="24"/>
          <w:highlight w:val="none"/>
        </w:rPr>
      </w:pPr>
      <w:r>
        <w:rPr>
          <w:color w:val="auto"/>
          <w:highlight w:val="none"/>
        </w:rPr>
        <w:drawing>
          <wp:anchor distT="0" distB="0" distL="114300" distR="114300" simplePos="0" relativeHeight="251659264" behindDoc="0" locked="0" layoutInCell="1" allowOverlap="1">
            <wp:simplePos x="0" y="0"/>
            <wp:positionH relativeFrom="column">
              <wp:posOffset>3587750</wp:posOffset>
            </wp:positionH>
            <wp:positionV relativeFrom="paragraph">
              <wp:posOffset>285750</wp:posOffset>
            </wp:positionV>
            <wp:extent cx="698500" cy="671830"/>
            <wp:effectExtent l="0" t="0" r="635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698500" cy="671830"/>
                    </a:xfrm>
                    <a:prstGeom prst="rect">
                      <a:avLst/>
                    </a:prstGeom>
                  </pic:spPr>
                </pic:pic>
              </a:graphicData>
            </a:graphic>
          </wp:anchor>
        </w:drawing>
      </w:r>
      <w:r>
        <w:rPr>
          <w:rFonts w:ascii="宋体" w:hAnsi="宋体" w:eastAsia="宋体"/>
          <w:color w:val="auto"/>
          <w:sz w:val="24"/>
          <w:szCs w:val="24"/>
          <w:highlight w:val="none"/>
        </w:rPr>
        <w:t>2.报名时间:2022年2月22日上午8:00至3月18日下午16:00。</w:t>
      </w:r>
      <w:r>
        <w:rPr>
          <w:rFonts w:hint="eastAsia" w:ascii="宋体" w:hAnsi="宋体" w:eastAsia="宋体"/>
          <w:color w:val="auto"/>
          <w:sz w:val="24"/>
          <w:szCs w:val="24"/>
          <w:highlight w:val="none"/>
        </w:rPr>
        <w:t>（根据报名先后，将分批组织面谈面试，分别录用）</w:t>
      </w:r>
    </w:p>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3.报名方法:</w:t>
      </w:r>
      <w:r>
        <w:rPr>
          <w:rFonts w:hint="eastAsia" w:ascii="宋体" w:hAnsi="宋体" w:eastAsia="宋体"/>
          <w:color w:val="auto"/>
          <w:sz w:val="24"/>
          <w:szCs w:val="24"/>
          <w:highlight w:val="none"/>
        </w:rPr>
        <w:t>进入问卷星填报并上传相应材料：</w:t>
      </w:r>
    </w:p>
    <w:p>
      <w:pPr>
        <w:spacing w:line="300" w:lineRule="auto"/>
        <w:ind w:firstLine="630" w:firstLineChars="300"/>
        <w:rPr>
          <w:rFonts w:ascii="宋体" w:hAnsi="宋体" w:eastAsia="宋体"/>
          <w:color w:val="auto"/>
          <w:sz w:val="24"/>
          <w:szCs w:val="24"/>
          <w:highlight w:val="none"/>
        </w:rPr>
      </w:pPr>
      <w:r>
        <w:rPr>
          <w:color w:val="auto"/>
          <w:highlight w:val="none"/>
        </w:rPr>
        <w:fldChar w:fldCharType="begin"/>
      </w:r>
      <w:r>
        <w:rPr>
          <w:color w:val="auto"/>
          <w:highlight w:val="none"/>
        </w:rPr>
        <w:instrText xml:space="preserve"> HYPERLINK "https://www.wjx.top/vj/rhAuWxb.aspx" </w:instrText>
      </w:r>
      <w:r>
        <w:rPr>
          <w:color w:val="auto"/>
          <w:highlight w:val="none"/>
        </w:rPr>
        <w:fldChar w:fldCharType="separate"/>
      </w:r>
      <w:r>
        <w:rPr>
          <w:rStyle w:val="11"/>
          <w:color w:val="auto"/>
          <w:highlight w:val="none"/>
        </w:rPr>
        <w:t>https://www.wjx.top/vj/rhAuWxb.aspx</w:t>
      </w:r>
      <w:r>
        <w:rPr>
          <w:rStyle w:val="11"/>
          <w:color w:val="auto"/>
          <w:highlight w:val="none"/>
        </w:rPr>
        <w:fldChar w:fldCharType="end"/>
      </w:r>
      <w:r>
        <w:rPr>
          <w:color w:val="auto"/>
          <w:highlight w:val="none"/>
        </w:rPr>
        <w:t xml:space="preserve"> </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4.报名材料：报考人员自行下载打印附件</w:t>
      </w:r>
      <w:r>
        <w:rPr>
          <w:rFonts w:ascii="宋体" w:hAnsi="宋体" w:eastAsia="宋体"/>
          <w:color w:val="auto"/>
          <w:sz w:val="24"/>
          <w:szCs w:val="24"/>
          <w:highlight w:val="none"/>
        </w:rPr>
        <w:t>2《</w:t>
      </w:r>
      <w:r>
        <w:rPr>
          <w:rFonts w:hint="eastAsia" w:ascii="宋体" w:hAnsi="宋体" w:eastAsia="宋体"/>
          <w:color w:val="auto"/>
          <w:sz w:val="24"/>
          <w:szCs w:val="24"/>
          <w:highlight w:val="none"/>
        </w:rPr>
        <w:t>浙江宏达南浔学校</w:t>
      </w:r>
      <w:r>
        <w:rPr>
          <w:rFonts w:ascii="宋体" w:hAnsi="宋体" w:eastAsia="宋体"/>
          <w:color w:val="auto"/>
          <w:sz w:val="24"/>
          <w:szCs w:val="24"/>
          <w:highlight w:val="none"/>
        </w:rPr>
        <w:t>2022年招聘优秀教育人才报名表》（要求一式1份，贴近期免冠一寸照片），并提供以下资料原件用于资格审核，所有原件要求复印1套，原件审核完成后收取复印件。</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1）《报名表》；</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2）户口本（户主页和本人页须复印）、本人有效期内第二代身份证；</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3）毕业证书（应届毕业生学历证明或毕业生推荐表、研究生还需提供本科毕业证书）；</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4）中小学教师资格证</w:t>
      </w:r>
      <w:r>
        <w:rPr>
          <w:rFonts w:hint="eastAsia" w:ascii="宋体" w:hAnsi="宋体" w:eastAsia="宋体"/>
          <w:color w:val="auto"/>
          <w:sz w:val="24"/>
          <w:szCs w:val="24"/>
          <w:highlight w:val="none"/>
        </w:rPr>
        <w:t>、</w:t>
      </w:r>
      <w:r>
        <w:rPr>
          <w:rFonts w:ascii="宋体" w:hAnsi="宋体" w:eastAsia="宋体"/>
          <w:color w:val="auto"/>
          <w:sz w:val="24"/>
          <w:szCs w:val="24"/>
          <w:highlight w:val="none"/>
        </w:rPr>
        <w:t>中小学教师资格考试合格证明</w:t>
      </w:r>
      <w:r>
        <w:rPr>
          <w:rFonts w:hint="eastAsia" w:ascii="宋体" w:hAnsi="宋体" w:eastAsia="宋体"/>
          <w:color w:val="auto"/>
          <w:sz w:val="24"/>
          <w:szCs w:val="24"/>
          <w:highlight w:val="none"/>
        </w:rPr>
        <w:t>或教练证（两年内须取得教师资格证）</w:t>
      </w:r>
      <w:r>
        <w:rPr>
          <w:rFonts w:ascii="宋体" w:hAnsi="宋体" w:eastAsia="宋体"/>
          <w:color w:val="auto"/>
          <w:sz w:val="24"/>
          <w:szCs w:val="24"/>
          <w:highlight w:val="none"/>
        </w:rPr>
        <w:t>；</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5）相应的普通话证书（二级乙等及以上，其中申报语文岗位的须二级甲等及以上）。</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6）符合“资格条件”的获奖证书或聘书等材料（第</w:t>
      </w:r>
      <w:r>
        <w:rPr>
          <w:rFonts w:hint="eastAsia" w:ascii="宋体" w:hAnsi="宋体" w:eastAsia="宋体"/>
          <w:color w:val="auto"/>
          <w:sz w:val="24"/>
          <w:szCs w:val="24"/>
          <w:highlight w:val="none"/>
        </w:rPr>
        <w:t>二、</w:t>
      </w:r>
      <w:r>
        <w:rPr>
          <w:rFonts w:ascii="宋体" w:hAnsi="宋体" w:eastAsia="宋体"/>
          <w:color w:val="auto"/>
          <w:sz w:val="24"/>
          <w:szCs w:val="24"/>
          <w:highlight w:val="none"/>
        </w:rPr>
        <w:t>三类招聘对象需提供）。</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（二）面谈</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组织现场或远程面谈，材料审核及面谈合格分为</w:t>
      </w:r>
      <w:r>
        <w:rPr>
          <w:rFonts w:ascii="宋体" w:hAnsi="宋体" w:eastAsia="宋体"/>
          <w:color w:val="auto"/>
          <w:sz w:val="24"/>
          <w:szCs w:val="24"/>
          <w:highlight w:val="none"/>
        </w:rPr>
        <w:t>70分，面谈不合格者不得进入面试。根据面谈情况，按不低于1:2的比例，确定参加面试人员名单；不足规定比例的，按实际人数确定面试对象。</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（三）面试</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根据面谈情况安排面试，由学校人力资源处通知应聘人员面试时间和地点。面试内容为备课和上微型课或专业技能展示，备课和所上微型课（专业技能展示）为同一内容，备课</w:t>
      </w:r>
      <w:r>
        <w:rPr>
          <w:rFonts w:ascii="宋体" w:hAnsi="宋体" w:eastAsia="宋体"/>
          <w:color w:val="auto"/>
          <w:sz w:val="24"/>
          <w:szCs w:val="24"/>
          <w:highlight w:val="none"/>
        </w:rPr>
        <w:t>60分钟，上课</w:t>
      </w:r>
      <w:r>
        <w:rPr>
          <w:rFonts w:hint="eastAsia" w:ascii="宋体" w:hAnsi="宋体" w:eastAsia="宋体"/>
          <w:color w:val="auto"/>
          <w:sz w:val="24"/>
          <w:szCs w:val="24"/>
          <w:highlight w:val="none"/>
        </w:rPr>
        <w:t>/展示</w:t>
      </w:r>
      <w:r>
        <w:rPr>
          <w:rFonts w:ascii="宋体" w:hAnsi="宋体" w:eastAsia="宋体"/>
          <w:color w:val="auto"/>
          <w:sz w:val="24"/>
          <w:szCs w:val="24"/>
          <w:highlight w:val="none"/>
        </w:rPr>
        <w:t>10分钟。面试满分为100分。</w:t>
      </w:r>
      <w:r>
        <w:rPr>
          <w:rFonts w:hint="eastAsia" w:ascii="宋体" w:hAnsi="宋体" w:eastAsia="宋体"/>
          <w:color w:val="auto"/>
          <w:sz w:val="24"/>
          <w:szCs w:val="24"/>
          <w:highlight w:val="none"/>
        </w:rPr>
        <w:t>面谈成绩3</w:t>
      </w:r>
      <w:r>
        <w:rPr>
          <w:rFonts w:ascii="宋体" w:hAnsi="宋体" w:eastAsia="宋体"/>
          <w:color w:val="auto"/>
          <w:sz w:val="24"/>
          <w:szCs w:val="24"/>
          <w:highlight w:val="none"/>
        </w:rPr>
        <w:t>0</w:t>
      </w:r>
      <w:r>
        <w:rPr>
          <w:rFonts w:hint="eastAsia" w:ascii="宋体" w:hAnsi="宋体" w:eastAsia="宋体"/>
          <w:color w:val="auto"/>
          <w:sz w:val="24"/>
          <w:szCs w:val="24"/>
          <w:highlight w:val="none"/>
        </w:rPr>
        <w:t>%+</w:t>
      </w:r>
      <w:r>
        <w:rPr>
          <w:rFonts w:ascii="宋体" w:hAnsi="宋体" w:eastAsia="宋体"/>
          <w:color w:val="auto"/>
          <w:sz w:val="24"/>
          <w:szCs w:val="24"/>
          <w:highlight w:val="none"/>
        </w:rPr>
        <w:t>面试成绩</w:t>
      </w:r>
      <w:r>
        <w:rPr>
          <w:rFonts w:hint="eastAsia" w:ascii="宋体" w:hAnsi="宋体" w:eastAsia="宋体"/>
          <w:color w:val="auto"/>
          <w:sz w:val="24"/>
          <w:szCs w:val="24"/>
          <w:highlight w:val="none"/>
        </w:rPr>
        <w:t>7</w:t>
      </w:r>
      <w:r>
        <w:rPr>
          <w:rFonts w:ascii="宋体" w:hAnsi="宋体" w:eastAsia="宋体"/>
          <w:color w:val="auto"/>
          <w:sz w:val="24"/>
          <w:szCs w:val="24"/>
          <w:highlight w:val="none"/>
        </w:rPr>
        <w:t>0</w:t>
      </w:r>
      <w:r>
        <w:rPr>
          <w:rFonts w:hint="eastAsia" w:ascii="宋体" w:hAnsi="宋体" w:eastAsia="宋体"/>
          <w:color w:val="auto"/>
          <w:sz w:val="24"/>
          <w:szCs w:val="24"/>
          <w:highlight w:val="none"/>
        </w:rPr>
        <w:t>%</w:t>
      </w:r>
      <w:r>
        <w:rPr>
          <w:rFonts w:ascii="宋体" w:hAnsi="宋体" w:eastAsia="宋体"/>
          <w:color w:val="auto"/>
          <w:sz w:val="24"/>
          <w:szCs w:val="24"/>
          <w:highlight w:val="none"/>
        </w:rPr>
        <w:t>即为考试总成绩。在面试结束后，根据</w:t>
      </w:r>
      <w:r>
        <w:rPr>
          <w:rFonts w:hint="eastAsia" w:ascii="宋体" w:hAnsi="宋体" w:eastAsia="宋体"/>
          <w:color w:val="auto"/>
          <w:sz w:val="24"/>
          <w:szCs w:val="24"/>
          <w:highlight w:val="none"/>
        </w:rPr>
        <w:t>总</w:t>
      </w:r>
      <w:r>
        <w:rPr>
          <w:rFonts w:ascii="宋体" w:hAnsi="宋体" w:eastAsia="宋体"/>
          <w:color w:val="auto"/>
          <w:sz w:val="24"/>
          <w:szCs w:val="24"/>
          <w:highlight w:val="none"/>
        </w:rPr>
        <w:t>成绩按岗位计划数1：1的比例确定体检人员。如果有放弃，在符合条件的人员中按面试成绩从高分到低分依次递补，确定体检人员。</w:t>
      </w:r>
      <w:r>
        <w:rPr>
          <w:rFonts w:hint="eastAsia" w:ascii="宋体" w:hAnsi="宋体" w:eastAsia="宋体"/>
          <w:color w:val="auto"/>
          <w:sz w:val="24"/>
          <w:szCs w:val="24"/>
          <w:highlight w:val="none"/>
        </w:rPr>
        <w:t>特级、正高、金牌教练另单独安排面试，采用个人述职和答辩方式。</w:t>
      </w:r>
    </w:p>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(四) 体检和</w:t>
      </w:r>
      <w:r>
        <w:rPr>
          <w:rFonts w:hint="eastAsia" w:ascii="宋体" w:hAnsi="宋体" w:eastAsia="宋体"/>
          <w:color w:val="auto"/>
          <w:sz w:val="24"/>
          <w:szCs w:val="24"/>
          <w:highlight w:val="none"/>
        </w:rPr>
        <w:t>考察</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学校统一组织体检，体检标准按《浙江省教师资格认定体检标准》执行，费用由考生自付。体检时间、地点另行通知。报考人员不按规定的时间、地点参加体检的，视作放弃体检。因怀孕不能完成体检程序的，则推迟体检、考察。考察主要对其思想政治、道德品质、现实表现及家庭情况等方面进行审查。</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因体检、考察不合格出现的缺额，从报考人员中，按总成绩由高到低顺序依次递补。</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（五）聘用</w:t>
      </w:r>
    </w:p>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已就业或已签订就业协议书的拟聘用人员由本人负责处理与原用人单位的劳动或聘用关系</w:t>
      </w:r>
      <w:r>
        <w:rPr>
          <w:rFonts w:hint="eastAsia" w:ascii="宋体" w:hAnsi="宋体" w:eastAsia="宋体"/>
          <w:color w:val="auto"/>
          <w:sz w:val="24"/>
          <w:szCs w:val="24"/>
          <w:highlight w:val="none"/>
        </w:rPr>
        <w:t>，处理完毕后</w:t>
      </w:r>
      <w:r>
        <w:rPr>
          <w:rFonts w:ascii="宋体" w:hAnsi="宋体" w:eastAsia="宋体"/>
          <w:color w:val="auto"/>
          <w:sz w:val="24"/>
          <w:szCs w:val="24"/>
          <w:highlight w:val="none"/>
        </w:rPr>
        <w:t>，签订聘用合同。合同期满，考核合格继续聘用。</w:t>
      </w:r>
    </w:p>
    <w:p>
      <w:pPr>
        <w:spacing w:line="30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五、工资待遇</w:t>
      </w:r>
    </w:p>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1.北大、清华、北师大、华东师大应届博士生</w:t>
      </w:r>
      <w:r>
        <w:rPr>
          <w:rFonts w:hint="eastAsia" w:ascii="宋体" w:hAnsi="宋体" w:eastAsia="宋体"/>
          <w:color w:val="auto"/>
          <w:sz w:val="24"/>
          <w:szCs w:val="24"/>
          <w:highlight w:val="none"/>
        </w:rPr>
        <w:t>年薪</w:t>
      </w:r>
      <w:r>
        <w:rPr>
          <w:rFonts w:ascii="宋体" w:hAnsi="宋体" w:eastAsia="宋体"/>
          <w:color w:val="auto"/>
          <w:sz w:val="24"/>
          <w:szCs w:val="24"/>
          <w:highlight w:val="none"/>
        </w:rPr>
        <w:t>30—60万元，硕士生30—45万元；复旦大学、浙江大学、东北师范大学、华中师范大学、西南大学应届博士生30—45万元，硕士研究生25—40万元。</w:t>
      </w:r>
      <w:r>
        <w:rPr>
          <w:rFonts w:hint="eastAsia" w:ascii="宋体" w:hAnsi="宋体" w:eastAsia="宋体"/>
          <w:color w:val="auto"/>
          <w:sz w:val="24"/>
          <w:szCs w:val="24"/>
          <w:highlight w:val="none"/>
        </w:rPr>
        <w:t>其他符合优秀毕业生聘用条件的人员年薪2</w:t>
      </w:r>
      <w:r>
        <w:rPr>
          <w:rFonts w:ascii="宋体" w:hAnsi="宋体" w:eastAsia="宋体"/>
          <w:color w:val="auto"/>
          <w:sz w:val="24"/>
          <w:szCs w:val="24"/>
          <w:highlight w:val="none"/>
        </w:rPr>
        <w:t>0</w:t>
      </w:r>
      <w:r>
        <w:rPr>
          <w:rFonts w:hint="eastAsia" w:ascii="宋体" w:hAnsi="宋体" w:eastAsia="宋体"/>
          <w:color w:val="auto"/>
          <w:sz w:val="24"/>
          <w:szCs w:val="24"/>
          <w:highlight w:val="none"/>
        </w:rPr>
        <w:t>-</w:t>
      </w:r>
      <w:r>
        <w:rPr>
          <w:rFonts w:ascii="宋体" w:hAnsi="宋体" w:eastAsia="宋体"/>
          <w:color w:val="auto"/>
          <w:sz w:val="24"/>
          <w:szCs w:val="24"/>
          <w:highlight w:val="none"/>
        </w:rPr>
        <w:t>35</w:t>
      </w:r>
      <w:r>
        <w:rPr>
          <w:rFonts w:hint="eastAsia" w:ascii="宋体" w:hAnsi="宋体" w:eastAsia="宋体"/>
          <w:color w:val="auto"/>
          <w:sz w:val="24"/>
          <w:szCs w:val="24"/>
          <w:highlight w:val="none"/>
        </w:rPr>
        <w:t>万元。</w:t>
      </w:r>
      <w:r>
        <w:rPr>
          <w:rFonts w:ascii="宋体" w:hAnsi="宋体" w:eastAsia="宋体"/>
          <w:color w:val="auto"/>
          <w:sz w:val="24"/>
          <w:szCs w:val="24"/>
          <w:highlight w:val="none"/>
        </w:rPr>
        <w:t>担任学生会领导职务，具有较强工作能力和管理能力者，待遇从优</w:t>
      </w:r>
      <w:r>
        <w:rPr>
          <w:rFonts w:hint="eastAsia" w:ascii="宋体" w:hAnsi="宋体" w:eastAsia="宋体"/>
          <w:color w:val="auto"/>
          <w:sz w:val="24"/>
          <w:szCs w:val="24"/>
          <w:highlight w:val="none"/>
        </w:rPr>
        <w:t>可</w:t>
      </w:r>
      <w:r>
        <w:rPr>
          <w:rFonts w:ascii="宋体" w:hAnsi="宋体" w:eastAsia="宋体"/>
          <w:color w:val="auto"/>
          <w:sz w:val="24"/>
          <w:szCs w:val="24"/>
          <w:highlight w:val="none"/>
        </w:rPr>
        <w:t>面谈。</w:t>
      </w:r>
    </w:p>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2.地市级</w:t>
      </w:r>
      <w:r>
        <w:rPr>
          <w:rFonts w:hint="eastAsia" w:ascii="宋体" w:hAnsi="宋体" w:eastAsia="宋体"/>
          <w:color w:val="auto"/>
          <w:sz w:val="24"/>
          <w:szCs w:val="24"/>
          <w:highlight w:val="none"/>
        </w:rPr>
        <w:t>及</w:t>
      </w:r>
      <w:r>
        <w:rPr>
          <w:rFonts w:ascii="宋体" w:hAnsi="宋体" w:eastAsia="宋体"/>
          <w:color w:val="auto"/>
          <w:sz w:val="24"/>
          <w:szCs w:val="24"/>
          <w:highlight w:val="none"/>
        </w:rPr>
        <w:t>以上名优教师、学科带头人</w:t>
      </w:r>
      <w:r>
        <w:rPr>
          <w:rFonts w:hint="eastAsia" w:ascii="宋体" w:hAnsi="宋体" w:eastAsia="宋体"/>
          <w:color w:val="auto"/>
          <w:sz w:val="24"/>
          <w:szCs w:val="24"/>
          <w:highlight w:val="none"/>
        </w:rPr>
        <w:t>，且</w:t>
      </w:r>
      <w:r>
        <w:rPr>
          <w:rFonts w:ascii="宋体" w:hAnsi="宋体" w:eastAsia="宋体"/>
          <w:color w:val="auto"/>
          <w:sz w:val="24"/>
          <w:szCs w:val="24"/>
          <w:highlight w:val="none"/>
        </w:rPr>
        <w:t>兼任新教师导师，年薪35万—55万元。</w:t>
      </w:r>
    </w:p>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3.正高级教师、省级特级教师</w:t>
      </w:r>
      <w:r>
        <w:rPr>
          <w:rFonts w:hint="eastAsia" w:ascii="宋体" w:hAnsi="宋体" w:eastAsia="宋体"/>
          <w:color w:val="auto"/>
          <w:sz w:val="24"/>
          <w:szCs w:val="24"/>
          <w:highlight w:val="none"/>
        </w:rPr>
        <w:t>，且</w:t>
      </w:r>
      <w:r>
        <w:rPr>
          <w:rFonts w:ascii="宋体" w:hAnsi="宋体" w:eastAsia="宋体"/>
          <w:color w:val="auto"/>
          <w:sz w:val="24"/>
          <w:szCs w:val="24"/>
          <w:highlight w:val="none"/>
        </w:rPr>
        <w:t>兼任教师导师，年薪40万—65万元。</w:t>
      </w:r>
    </w:p>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4.全国竞赛一级教练（或金牌教练）：年薪50万—100万元。</w:t>
      </w:r>
    </w:p>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5.按国家政策和集团规定办理社会保险和住房公积金、人事代理、职称评审。</w:t>
      </w:r>
    </w:p>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6.工作时间免费提供工作餐</w:t>
      </w:r>
      <w:r>
        <w:rPr>
          <w:rFonts w:hint="eastAsia" w:ascii="宋体" w:hAnsi="宋体" w:eastAsia="宋体"/>
          <w:color w:val="auto"/>
          <w:sz w:val="24"/>
          <w:szCs w:val="24"/>
          <w:highlight w:val="none"/>
        </w:rPr>
        <w:t>；</w:t>
      </w:r>
      <w:r>
        <w:rPr>
          <w:rFonts w:ascii="宋体" w:hAnsi="宋体" w:eastAsia="宋体"/>
          <w:color w:val="auto"/>
          <w:sz w:val="24"/>
          <w:szCs w:val="24"/>
          <w:highlight w:val="none"/>
        </w:rPr>
        <w:t>根据实际情况可提供教师宿舍（单人间或双人间）。</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具体待遇均面谈，年薪为税前。</w:t>
      </w:r>
      <w:r>
        <w:rPr>
          <w:rFonts w:ascii="宋体" w:hAnsi="宋体" w:eastAsia="宋体"/>
          <w:color w:val="auto"/>
          <w:sz w:val="24"/>
          <w:szCs w:val="24"/>
          <w:highlight w:val="none"/>
        </w:rPr>
        <w:t>被聘用人员均为</w:t>
      </w:r>
      <w:r>
        <w:rPr>
          <w:rFonts w:hint="eastAsia" w:ascii="宋体" w:hAnsi="宋体" w:eastAsia="宋体"/>
          <w:color w:val="auto"/>
          <w:sz w:val="24"/>
          <w:szCs w:val="24"/>
          <w:highlight w:val="none"/>
        </w:rPr>
        <w:t>合同</w:t>
      </w:r>
      <w:r>
        <w:rPr>
          <w:rFonts w:ascii="宋体" w:hAnsi="宋体" w:eastAsia="宋体"/>
          <w:color w:val="auto"/>
          <w:sz w:val="24"/>
          <w:szCs w:val="24"/>
          <w:highlight w:val="none"/>
        </w:rPr>
        <w:t>制，实行</w:t>
      </w:r>
      <w:r>
        <w:rPr>
          <w:rFonts w:hint="eastAsia" w:ascii="宋体" w:hAnsi="宋体" w:eastAsia="宋体"/>
          <w:color w:val="auto"/>
          <w:sz w:val="24"/>
          <w:szCs w:val="24"/>
          <w:highlight w:val="none"/>
        </w:rPr>
        <w:t>三个月</w:t>
      </w:r>
      <w:r>
        <w:rPr>
          <w:rFonts w:ascii="宋体" w:hAnsi="宋体" w:eastAsia="宋体"/>
          <w:color w:val="auto"/>
          <w:sz w:val="24"/>
          <w:szCs w:val="24"/>
          <w:highlight w:val="none"/>
        </w:rPr>
        <w:t>试用期，试用期满考核</w:t>
      </w:r>
      <w:r>
        <w:rPr>
          <w:rFonts w:hint="eastAsia" w:ascii="宋体" w:hAnsi="宋体" w:eastAsia="宋体"/>
          <w:color w:val="auto"/>
          <w:sz w:val="24"/>
          <w:szCs w:val="24"/>
          <w:highlight w:val="none"/>
        </w:rPr>
        <w:t>、</w:t>
      </w:r>
      <w:r>
        <w:rPr>
          <w:rFonts w:ascii="宋体" w:hAnsi="宋体" w:eastAsia="宋体"/>
          <w:color w:val="auto"/>
          <w:sz w:val="24"/>
          <w:szCs w:val="24"/>
          <w:highlight w:val="none"/>
        </w:rPr>
        <w:t>岗前培训不合格者，取消聘用资格。</w:t>
      </w:r>
    </w:p>
    <w:p>
      <w:pPr>
        <w:spacing w:line="30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六</w:t>
      </w:r>
      <w:r>
        <w:rPr>
          <w:rFonts w:ascii="宋体" w:hAnsi="宋体" w:eastAsia="宋体"/>
          <w:b/>
          <w:bCs/>
          <w:color w:val="auto"/>
          <w:sz w:val="24"/>
          <w:szCs w:val="24"/>
          <w:highlight w:val="none"/>
        </w:rPr>
        <w:t>、政策支持</w:t>
      </w:r>
    </w:p>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1.设立购房补助。</w:t>
      </w:r>
    </w:p>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聘用人员按照《南浔区人才购房房票奖励实施办法》执行，全日制博士研究生50万元、全日制硕士研究生25万元、全日制本科生15万元的基础标准给予房票奖励。</w:t>
      </w:r>
      <w:r>
        <w:rPr>
          <w:rFonts w:hint="eastAsia" w:ascii="宋体" w:hAnsi="宋体" w:eastAsia="宋体"/>
          <w:color w:val="auto"/>
          <w:sz w:val="24"/>
          <w:szCs w:val="24"/>
          <w:highlight w:val="none"/>
        </w:rPr>
        <w:t>高层次人才按A</w:t>
      </w:r>
      <w:r>
        <w:rPr>
          <w:rFonts w:ascii="宋体" w:hAnsi="宋体" w:eastAsia="宋体"/>
          <w:color w:val="auto"/>
          <w:sz w:val="24"/>
          <w:szCs w:val="24"/>
          <w:highlight w:val="none"/>
        </w:rPr>
        <w:t>BCDE</w:t>
      </w:r>
      <w:r>
        <w:rPr>
          <w:rFonts w:hint="eastAsia" w:ascii="宋体" w:hAnsi="宋体" w:eastAsia="宋体"/>
          <w:color w:val="auto"/>
          <w:sz w:val="24"/>
          <w:szCs w:val="24"/>
          <w:highlight w:val="none"/>
        </w:rPr>
        <w:t>五类人才基础标准，购房房票奖励分别为3</w:t>
      </w:r>
      <w:r>
        <w:rPr>
          <w:rFonts w:ascii="宋体" w:hAnsi="宋体" w:eastAsia="宋体"/>
          <w:color w:val="auto"/>
          <w:sz w:val="24"/>
          <w:szCs w:val="24"/>
          <w:highlight w:val="none"/>
        </w:rPr>
        <w:t>00</w:t>
      </w:r>
      <w:r>
        <w:rPr>
          <w:rFonts w:hint="eastAsia" w:ascii="宋体" w:hAnsi="宋体" w:eastAsia="宋体"/>
          <w:color w:val="auto"/>
          <w:sz w:val="24"/>
          <w:szCs w:val="24"/>
          <w:highlight w:val="none"/>
        </w:rPr>
        <w:t>万元、1</w:t>
      </w:r>
      <w:r>
        <w:rPr>
          <w:rFonts w:ascii="宋体" w:hAnsi="宋体" w:eastAsia="宋体"/>
          <w:color w:val="auto"/>
          <w:sz w:val="24"/>
          <w:szCs w:val="24"/>
          <w:highlight w:val="none"/>
        </w:rPr>
        <w:t>50</w:t>
      </w:r>
      <w:r>
        <w:rPr>
          <w:rFonts w:hint="eastAsia" w:ascii="宋体" w:hAnsi="宋体" w:eastAsia="宋体"/>
          <w:color w:val="auto"/>
          <w:sz w:val="24"/>
          <w:szCs w:val="24"/>
          <w:highlight w:val="none"/>
        </w:rPr>
        <w:t>万元、8</w:t>
      </w:r>
      <w:r>
        <w:rPr>
          <w:rFonts w:ascii="宋体" w:hAnsi="宋体" w:eastAsia="宋体"/>
          <w:color w:val="auto"/>
          <w:sz w:val="24"/>
          <w:szCs w:val="24"/>
          <w:highlight w:val="none"/>
        </w:rPr>
        <w:t>0</w:t>
      </w:r>
      <w:r>
        <w:rPr>
          <w:rFonts w:hint="eastAsia" w:ascii="宋体" w:hAnsi="宋体" w:eastAsia="宋体"/>
          <w:color w:val="auto"/>
          <w:sz w:val="24"/>
          <w:szCs w:val="24"/>
          <w:highlight w:val="none"/>
        </w:rPr>
        <w:t>万元、6</w:t>
      </w:r>
      <w:r>
        <w:rPr>
          <w:rFonts w:ascii="宋体" w:hAnsi="宋体" w:eastAsia="宋体"/>
          <w:color w:val="auto"/>
          <w:sz w:val="24"/>
          <w:szCs w:val="24"/>
          <w:highlight w:val="none"/>
        </w:rPr>
        <w:t>0</w:t>
      </w:r>
      <w:r>
        <w:rPr>
          <w:rFonts w:hint="eastAsia" w:ascii="宋体" w:hAnsi="宋体" w:eastAsia="宋体"/>
          <w:color w:val="auto"/>
          <w:sz w:val="24"/>
          <w:szCs w:val="24"/>
          <w:highlight w:val="none"/>
        </w:rPr>
        <w:t>万元和5</w:t>
      </w:r>
      <w:r>
        <w:rPr>
          <w:rFonts w:ascii="宋体" w:hAnsi="宋体" w:eastAsia="宋体"/>
          <w:color w:val="auto"/>
          <w:sz w:val="24"/>
          <w:szCs w:val="24"/>
          <w:highlight w:val="none"/>
        </w:rPr>
        <w:t>0</w:t>
      </w:r>
      <w:r>
        <w:rPr>
          <w:rFonts w:hint="eastAsia" w:ascii="宋体" w:hAnsi="宋体" w:eastAsia="宋体"/>
          <w:color w:val="auto"/>
          <w:sz w:val="24"/>
          <w:szCs w:val="24"/>
          <w:highlight w:val="none"/>
        </w:rPr>
        <w:t>万元。</w:t>
      </w:r>
    </w:p>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2.设立租房（生活）补贴。</w:t>
      </w:r>
    </w:p>
    <w:p>
      <w:pPr>
        <w:spacing w:line="30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来浔工作后，在南浔区未购房，符合条件的可以申请期限为3年的租房补贴。（1）申请人居住在父母(投亲靠友)家里或居住在员工宿舍，补贴标准为：全日制博士研究生补贴标准为1500元/月；全日制硕士研究生补贴标准为1000元/月；全日制本科毕业生补贴标准为500元/月。（2）申请人在南浔租房居住，补贴标准上浮50%。</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3.享受名师津贴。</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来浔工作前已成为县区级及以上名师的或来浔后评为名师的，参照区委相关文件，通过审核的，可享受相应的奖励（每年1万至8万元，管理期五年）。</w:t>
      </w:r>
    </w:p>
    <w:p>
      <w:pPr>
        <w:spacing w:line="30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八、其他事项</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本公告由上海外国语大学附属浙江宏达南浔学校负责解释。</w:t>
      </w:r>
    </w:p>
    <w:p>
      <w:pPr>
        <w:spacing w:line="30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咨询电话</w:t>
      </w:r>
      <w:r>
        <w:rPr>
          <w:rFonts w:ascii="宋体" w:hAnsi="宋体" w:eastAsia="宋体"/>
          <w:color w:val="auto"/>
          <w:sz w:val="24"/>
          <w:szCs w:val="24"/>
          <w:highlight w:val="none"/>
        </w:rPr>
        <w:t xml:space="preserve">:0572-3778019 13819220784 </w:t>
      </w:r>
      <w:r>
        <w:rPr>
          <w:rFonts w:hint="eastAsia" w:ascii="宋体" w:hAnsi="宋体" w:eastAsia="宋体"/>
          <w:color w:val="auto"/>
          <w:sz w:val="24"/>
          <w:szCs w:val="24"/>
          <w:highlight w:val="none"/>
        </w:rPr>
        <w:t>潘老师。</w:t>
      </w:r>
    </w:p>
    <w:p>
      <w:pPr>
        <w:spacing w:line="300" w:lineRule="auto"/>
        <w:ind w:firstLine="4080" w:firstLineChars="1700"/>
        <w:rPr>
          <w:rFonts w:ascii="宋体" w:hAnsi="宋体" w:eastAsia="宋体"/>
          <w:color w:val="auto"/>
          <w:sz w:val="24"/>
          <w:szCs w:val="24"/>
          <w:highlight w:val="none"/>
        </w:rPr>
      </w:pPr>
      <w:r>
        <w:rPr>
          <w:rFonts w:hint="eastAsia" w:ascii="宋体" w:hAnsi="宋体" w:eastAsia="宋体"/>
          <w:color w:val="auto"/>
          <w:sz w:val="24"/>
          <w:szCs w:val="24"/>
          <w:highlight w:val="none"/>
        </w:rPr>
        <w:t>上海外国语大学附属浙江宏达南浔学校</w:t>
      </w:r>
    </w:p>
    <w:p>
      <w:pPr>
        <w:spacing w:line="300" w:lineRule="auto"/>
        <w:ind w:firstLine="5280" w:firstLineChars="2200"/>
        <w:rPr>
          <w:rFonts w:ascii="宋体" w:hAnsi="宋体" w:eastAsia="宋体"/>
          <w:color w:val="auto"/>
          <w:sz w:val="24"/>
          <w:szCs w:val="24"/>
          <w:highlight w:val="none"/>
        </w:rPr>
      </w:pPr>
      <w:r>
        <w:rPr>
          <w:rFonts w:ascii="宋体" w:hAnsi="宋体" w:eastAsia="宋体"/>
          <w:color w:val="auto"/>
          <w:sz w:val="24"/>
          <w:szCs w:val="24"/>
          <w:highlight w:val="none"/>
        </w:rPr>
        <w:t>2022年2月19日</w:t>
      </w:r>
    </w:p>
    <w:p>
      <w:pPr>
        <w:spacing w:line="300"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附件1</w:t>
      </w:r>
    </w:p>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浙江</w:t>
      </w:r>
      <w:r>
        <w:rPr>
          <w:rFonts w:ascii="宋体" w:hAnsi="宋体" w:eastAsia="宋体"/>
          <w:color w:val="auto"/>
          <w:sz w:val="24"/>
          <w:szCs w:val="24"/>
          <w:highlight w:val="none"/>
        </w:rPr>
        <w:t>宏达南浔学校招聘高层次</w:t>
      </w:r>
      <w:r>
        <w:rPr>
          <w:rFonts w:hint="eastAsia" w:ascii="宋体" w:hAnsi="宋体" w:eastAsia="宋体"/>
          <w:color w:val="auto"/>
          <w:sz w:val="24"/>
          <w:szCs w:val="24"/>
          <w:highlight w:val="none"/>
        </w:rPr>
        <w:t>教育</w:t>
      </w:r>
      <w:r>
        <w:rPr>
          <w:rFonts w:ascii="宋体" w:hAnsi="宋体" w:eastAsia="宋体"/>
          <w:color w:val="auto"/>
          <w:sz w:val="24"/>
          <w:szCs w:val="24"/>
          <w:highlight w:val="none"/>
        </w:rPr>
        <w:t>人才岗位计划表</w:t>
      </w:r>
    </w:p>
    <w:p>
      <w:pPr>
        <w:spacing w:line="300" w:lineRule="auto"/>
        <w:jc w:val="center"/>
        <w:rPr>
          <w:rFonts w:ascii="宋体" w:hAnsi="宋体" w:eastAsia="宋体"/>
          <w:color w:val="auto"/>
          <w:sz w:val="24"/>
          <w:szCs w:val="24"/>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1"/>
        <w:gridCol w:w="3828"/>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911"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序号</w:t>
            </w:r>
          </w:p>
        </w:tc>
        <w:tc>
          <w:tcPr>
            <w:tcW w:w="3828"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招聘岗位</w:t>
            </w:r>
          </w:p>
        </w:tc>
        <w:tc>
          <w:tcPr>
            <w:tcW w:w="1970"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招聘人数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trPr>
        <w:tc>
          <w:tcPr>
            <w:tcW w:w="1911"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3828"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初中语文</w:t>
            </w:r>
          </w:p>
        </w:tc>
        <w:tc>
          <w:tcPr>
            <w:tcW w:w="1970" w:type="dxa"/>
          </w:tcPr>
          <w:p>
            <w:pPr>
              <w:spacing w:line="300"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911"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2</w:t>
            </w:r>
          </w:p>
        </w:tc>
        <w:tc>
          <w:tcPr>
            <w:tcW w:w="3828"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初中数学</w:t>
            </w:r>
          </w:p>
        </w:tc>
        <w:tc>
          <w:tcPr>
            <w:tcW w:w="1970" w:type="dxa"/>
          </w:tcPr>
          <w:p>
            <w:pPr>
              <w:spacing w:line="300"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911"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w:t>
            </w:r>
          </w:p>
        </w:tc>
        <w:tc>
          <w:tcPr>
            <w:tcW w:w="3828"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初中英语</w:t>
            </w:r>
          </w:p>
        </w:tc>
        <w:tc>
          <w:tcPr>
            <w:tcW w:w="1970" w:type="dxa"/>
          </w:tcPr>
          <w:p>
            <w:pPr>
              <w:spacing w:line="300"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911"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4</w:t>
            </w:r>
          </w:p>
        </w:tc>
        <w:tc>
          <w:tcPr>
            <w:tcW w:w="3828"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初中科学</w:t>
            </w:r>
          </w:p>
        </w:tc>
        <w:tc>
          <w:tcPr>
            <w:tcW w:w="1970" w:type="dxa"/>
          </w:tcPr>
          <w:p>
            <w:pPr>
              <w:spacing w:line="300"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911"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5</w:t>
            </w:r>
          </w:p>
        </w:tc>
        <w:tc>
          <w:tcPr>
            <w:tcW w:w="3828"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初中社会</w:t>
            </w:r>
          </w:p>
        </w:tc>
        <w:tc>
          <w:tcPr>
            <w:tcW w:w="1970" w:type="dxa"/>
          </w:tcPr>
          <w:p>
            <w:pPr>
              <w:spacing w:line="300"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11"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6</w:t>
            </w:r>
          </w:p>
        </w:tc>
        <w:tc>
          <w:tcPr>
            <w:tcW w:w="3828"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小学语文</w:t>
            </w:r>
          </w:p>
        </w:tc>
        <w:tc>
          <w:tcPr>
            <w:tcW w:w="1970" w:type="dxa"/>
          </w:tcPr>
          <w:p>
            <w:pPr>
              <w:spacing w:line="300"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911"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7</w:t>
            </w:r>
          </w:p>
        </w:tc>
        <w:tc>
          <w:tcPr>
            <w:tcW w:w="3828"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小学数学</w:t>
            </w:r>
          </w:p>
        </w:tc>
        <w:tc>
          <w:tcPr>
            <w:tcW w:w="1970" w:type="dxa"/>
          </w:tcPr>
          <w:p>
            <w:pPr>
              <w:spacing w:line="300"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911"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8</w:t>
            </w:r>
          </w:p>
        </w:tc>
        <w:tc>
          <w:tcPr>
            <w:tcW w:w="3828"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小学英语</w:t>
            </w:r>
          </w:p>
        </w:tc>
        <w:tc>
          <w:tcPr>
            <w:tcW w:w="1970" w:type="dxa"/>
          </w:tcPr>
          <w:p>
            <w:pPr>
              <w:spacing w:line="300"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11"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9</w:t>
            </w:r>
          </w:p>
        </w:tc>
        <w:tc>
          <w:tcPr>
            <w:tcW w:w="3828"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小学科学</w:t>
            </w:r>
          </w:p>
        </w:tc>
        <w:tc>
          <w:tcPr>
            <w:tcW w:w="1970" w:type="dxa"/>
          </w:tcPr>
          <w:p>
            <w:pPr>
              <w:spacing w:line="300"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11"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10</w:t>
            </w:r>
          </w:p>
        </w:tc>
        <w:tc>
          <w:tcPr>
            <w:tcW w:w="3828"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体育</w:t>
            </w:r>
          </w:p>
        </w:tc>
        <w:tc>
          <w:tcPr>
            <w:tcW w:w="1970" w:type="dxa"/>
          </w:tcPr>
          <w:p>
            <w:pPr>
              <w:spacing w:line="300"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911"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11</w:t>
            </w:r>
          </w:p>
        </w:tc>
        <w:tc>
          <w:tcPr>
            <w:tcW w:w="3828"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科技类（科学、信息技术等）</w:t>
            </w:r>
          </w:p>
        </w:tc>
        <w:tc>
          <w:tcPr>
            <w:tcW w:w="1970" w:type="dxa"/>
          </w:tcPr>
          <w:p>
            <w:pPr>
              <w:spacing w:line="300"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911"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ascii="宋体" w:hAnsi="宋体" w:eastAsia="宋体"/>
                <w:color w:val="auto"/>
                <w:sz w:val="24"/>
                <w:szCs w:val="24"/>
                <w:highlight w:val="none"/>
              </w:rPr>
              <w:t>2</w:t>
            </w:r>
          </w:p>
        </w:tc>
        <w:tc>
          <w:tcPr>
            <w:tcW w:w="3828"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艺术类（音乐、美术等）</w:t>
            </w:r>
          </w:p>
        </w:tc>
        <w:tc>
          <w:tcPr>
            <w:tcW w:w="1970" w:type="dxa"/>
          </w:tcPr>
          <w:p>
            <w:pPr>
              <w:spacing w:line="300"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739" w:type="dxa"/>
            <w:gridSpan w:val="2"/>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合 计</w:t>
            </w:r>
          </w:p>
        </w:tc>
        <w:tc>
          <w:tcPr>
            <w:tcW w:w="1970" w:type="dxa"/>
          </w:tcPr>
          <w:p>
            <w:pPr>
              <w:spacing w:line="30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7</w:t>
            </w:r>
          </w:p>
        </w:tc>
      </w:tr>
    </w:tbl>
    <w:p>
      <w:pPr>
        <w:spacing w:line="300" w:lineRule="auto"/>
        <w:jc w:val="center"/>
        <w:rPr>
          <w:rFonts w:ascii="宋体" w:hAnsi="宋体" w:eastAsia="宋体"/>
          <w:color w:val="auto"/>
          <w:sz w:val="24"/>
          <w:szCs w:val="24"/>
          <w:highlight w:val="none"/>
        </w:rPr>
      </w:pPr>
    </w:p>
    <w:p>
      <w:pPr>
        <w:spacing w:line="300" w:lineRule="auto"/>
        <w:jc w:val="left"/>
        <w:rPr>
          <w:rFonts w:ascii="宋体" w:hAnsi="宋体" w:eastAsia="宋体"/>
          <w:color w:val="auto"/>
          <w:sz w:val="24"/>
          <w:szCs w:val="24"/>
          <w:highlight w:val="none"/>
        </w:rPr>
      </w:pPr>
    </w:p>
    <w:p>
      <w:pPr>
        <w:spacing w:line="300" w:lineRule="auto"/>
        <w:jc w:val="left"/>
        <w:rPr>
          <w:rFonts w:ascii="宋体" w:hAnsi="宋体" w:eastAsia="宋体"/>
          <w:color w:val="auto"/>
          <w:sz w:val="24"/>
          <w:szCs w:val="24"/>
          <w:highlight w:val="none"/>
        </w:rPr>
      </w:pPr>
    </w:p>
    <w:p>
      <w:pPr>
        <w:spacing w:line="300" w:lineRule="auto"/>
        <w:jc w:val="left"/>
        <w:rPr>
          <w:rFonts w:ascii="宋体" w:hAnsi="宋体" w:eastAsia="宋体"/>
          <w:color w:val="auto"/>
          <w:sz w:val="24"/>
          <w:szCs w:val="24"/>
          <w:highlight w:val="none"/>
        </w:rPr>
      </w:pPr>
    </w:p>
    <w:p>
      <w:pPr>
        <w:spacing w:line="300" w:lineRule="auto"/>
        <w:jc w:val="left"/>
        <w:rPr>
          <w:rFonts w:ascii="宋体" w:hAnsi="宋体" w:eastAsia="宋体"/>
          <w:color w:val="auto"/>
          <w:sz w:val="24"/>
          <w:szCs w:val="24"/>
          <w:highlight w:val="none"/>
        </w:rPr>
      </w:pPr>
    </w:p>
    <w:p>
      <w:pPr>
        <w:spacing w:line="300" w:lineRule="auto"/>
        <w:jc w:val="left"/>
        <w:rPr>
          <w:rFonts w:ascii="宋体" w:hAnsi="宋体" w:eastAsia="宋体"/>
          <w:color w:val="auto"/>
          <w:sz w:val="24"/>
          <w:szCs w:val="24"/>
          <w:highlight w:val="none"/>
        </w:rPr>
      </w:pPr>
    </w:p>
    <w:p>
      <w:pPr>
        <w:spacing w:line="300" w:lineRule="auto"/>
        <w:jc w:val="left"/>
        <w:rPr>
          <w:rFonts w:ascii="宋体" w:hAnsi="宋体" w:eastAsia="宋体"/>
          <w:color w:val="auto"/>
          <w:sz w:val="24"/>
          <w:szCs w:val="24"/>
          <w:highlight w:val="none"/>
        </w:rPr>
      </w:pPr>
    </w:p>
    <w:p>
      <w:pPr>
        <w:spacing w:line="300" w:lineRule="auto"/>
        <w:jc w:val="left"/>
        <w:rPr>
          <w:rFonts w:ascii="宋体" w:hAnsi="宋体" w:eastAsia="宋体"/>
          <w:color w:val="auto"/>
          <w:sz w:val="24"/>
          <w:szCs w:val="24"/>
          <w:highlight w:val="none"/>
        </w:rPr>
      </w:pPr>
    </w:p>
    <w:p>
      <w:pPr>
        <w:spacing w:line="300"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附件</w:t>
      </w:r>
      <w:r>
        <w:rPr>
          <w:rFonts w:ascii="宋体" w:hAnsi="宋体" w:eastAsia="宋体"/>
          <w:color w:val="auto"/>
          <w:sz w:val="24"/>
          <w:szCs w:val="24"/>
          <w:highlight w:val="none"/>
        </w:rPr>
        <w:t>2</w:t>
      </w:r>
    </w:p>
    <w:p>
      <w:pPr>
        <w:spacing w:line="400" w:lineRule="exact"/>
        <w:jc w:val="center"/>
        <w:rPr>
          <w:rFonts w:ascii="方正小标宋简体" w:eastAsia="方正小标宋简体"/>
          <w:b/>
          <w:color w:val="auto"/>
          <w:sz w:val="32"/>
          <w:szCs w:val="32"/>
          <w:highlight w:val="none"/>
        </w:rPr>
      </w:pPr>
      <w:r>
        <w:rPr>
          <w:rFonts w:hint="eastAsia" w:ascii="方正小标宋简体" w:eastAsia="方正小标宋简体"/>
          <w:b/>
          <w:color w:val="auto"/>
          <w:sz w:val="36"/>
          <w:szCs w:val="36"/>
          <w:highlight w:val="none"/>
        </w:rPr>
        <w:t>浙江宏达南浔学校202</w:t>
      </w:r>
      <w:r>
        <w:rPr>
          <w:rFonts w:ascii="方正小标宋简体" w:eastAsia="方正小标宋简体"/>
          <w:b/>
          <w:color w:val="auto"/>
          <w:sz w:val="36"/>
          <w:szCs w:val="36"/>
          <w:highlight w:val="none"/>
        </w:rPr>
        <w:t>2</w:t>
      </w:r>
      <w:r>
        <w:rPr>
          <w:rFonts w:hint="eastAsia" w:ascii="方正小标宋简体" w:eastAsia="方正小标宋简体"/>
          <w:b/>
          <w:color w:val="auto"/>
          <w:sz w:val="36"/>
          <w:szCs w:val="36"/>
          <w:highlight w:val="none"/>
        </w:rPr>
        <w:t>年优秀教育人才报名表</w:t>
      </w:r>
    </w:p>
    <w:tbl>
      <w:tblPr>
        <w:tblStyle w:val="7"/>
        <w:tblW w:w="10137" w:type="dxa"/>
        <w:jc w:val="center"/>
        <w:tblLayout w:type="fixed"/>
        <w:tblCellMar>
          <w:top w:w="0" w:type="dxa"/>
          <w:left w:w="57" w:type="dxa"/>
          <w:bottom w:w="0" w:type="dxa"/>
          <w:right w:w="57" w:type="dxa"/>
        </w:tblCellMar>
      </w:tblPr>
      <w:tblGrid>
        <w:gridCol w:w="1085"/>
        <w:gridCol w:w="283"/>
        <w:gridCol w:w="836"/>
        <w:gridCol w:w="1347"/>
        <w:gridCol w:w="291"/>
        <w:gridCol w:w="137"/>
        <w:gridCol w:w="154"/>
        <w:gridCol w:w="145"/>
        <w:gridCol w:w="12"/>
        <w:gridCol w:w="134"/>
        <w:gridCol w:w="291"/>
        <w:gridCol w:w="291"/>
        <w:gridCol w:w="291"/>
        <w:gridCol w:w="214"/>
        <w:gridCol w:w="77"/>
        <w:gridCol w:w="291"/>
        <w:gridCol w:w="292"/>
        <w:gridCol w:w="291"/>
        <w:gridCol w:w="291"/>
        <w:gridCol w:w="47"/>
        <w:gridCol w:w="123"/>
        <w:gridCol w:w="121"/>
        <w:gridCol w:w="17"/>
        <w:gridCol w:w="274"/>
        <w:gridCol w:w="291"/>
        <w:gridCol w:w="245"/>
        <w:gridCol w:w="46"/>
        <w:gridCol w:w="291"/>
        <w:gridCol w:w="291"/>
        <w:gridCol w:w="318"/>
        <w:gridCol w:w="1320"/>
      </w:tblGrid>
      <w:tr>
        <w:tblPrEx>
          <w:tblCellMar>
            <w:top w:w="0" w:type="dxa"/>
            <w:left w:w="57" w:type="dxa"/>
            <w:bottom w:w="0" w:type="dxa"/>
            <w:right w:w="57" w:type="dxa"/>
          </w:tblCellMar>
        </w:tblPrEx>
        <w:trPr>
          <w:trHeight w:val="627" w:hRule="atLeast"/>
          <w:jc w:val="center"/>
        </w:trPr>
        <w:tc>
          <w:tcPr>
            <w:tcW w:w="136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2"/>
                <w:highlight w:val="none"/>
              </w:rPr>
            </w:pPr>
            <w:r>
              <w:rPr>
                <w:rFonts w:hint="eastAsia" w:ascii="宋体" w:hAnsi="宋体" w:cs="宋体"/>
                <w:color w:val="auto"/>
                <w:kern w:val="0"/>
                <w:sz w:val="22"/>
                <w:highlight w:val="none"/>
              </w:rPr>
              <w:t>应聘岗位</w:t>
            </w:r>
          </w:p>
        </w:tc>
        <w:tc>
          <w:tcPr>
            <w:tcW w:w="2611" w:type="dxa"/>
            <w:gridSpan w:val="4"/>
            <w:tcBorders>
              <w:top w:val="single" w:color="auto" w:sz="4" w:space="0"/>
              <w:left w:val="nil"/>
              <w:bottom w:val="single" w:color="auto" w:sz="4" w:space="0"/>
              <w:right w:val="single" w:color="auto" w:sz="4" w:space="0"/>
            </w:tcBorders>
            <w:vAlign w:val="center"/>
          </w:tcPr>
          <w:p>
            <w:pPr>
              <w:jc w:val="center"/>
              <w:rPr>
                <w:rFonts w:ascii="宋体" w:hAnsi="宋体" w:cs="宋体"/>
                <w:color w:val="auto"/>
                <w:kern w:val="0"/>
                <w:sz w:val="22"/>
                <w:highlight w:val="none"/>
              </w:rPr>
            </w:pPr>
            <w:bookmarkStart w:id="0" w:name="_GoBack"/>
            <w:bookmarkEnd w:id="0"/>
          </w:p>
        </w:tc>
        <w:tc>
          <w:tcPr>
            <w:tcW w:w="1900"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2"/>
                <w:highlight w:val="none"/>
              </w:rPr>
            </w:pPr>
            <w:r>
              <w:rPr>
                <w:rFonts w:hint="eastAsia" w:ascii="宋体" w:hAnsi="宋体" w:cs="宋体"/>
                <w:color w:val="auto"/>
                <w:kern w:val="0"/>
                <w:sz w:val="22"/>
                <w:highlight w:val="none"/>
              </w:rPr>
              <w:t>对象类别</w:t>
            </w:r>
            <w:r>
              <w:rPr>
                <w:rFonts w:hint="eastAsia" w:ascii="宋体" w:hAnsi="宋体" w:cs="宋体"/>
                <w:color w:val="auto"/>
                <w:kern w:val="0"/>
                <w:szCs w:val="21"/>
                <w:highlight w:val="none"/>
              </w:rPr>
              <w:t>（请在括号内打“√”）</w:t>
            </w:r>
            <w:r>
              <w:rPr>
                <w:rFonts w:hint="eastAsia" w:ascii="宋体" w:hAnsi="宋体" w:cs="宋体"/>
                <w:color w:val="auto"/>
                <w:kern w:val="0"/>
                <w:sz w:val="22"/>
                <w:highlight w:val="none"/>
              </w:rPr>
              <w:t xml:space="preserve">  </w:t>
            </w:r>
          </w:p>
        </w:tc>
        <w:tc>
          <w:tcPr>
            <w:tcW w:w="2937" w:type="dxa"/>
            <w:gridSpan w:val="14"/>
            <w:tcBorders>
              <w:top w:val="single" w:color="auto" w:sz="4" w:space="0"/>
              <w:left w:val="single" w:color="auto" w:sz="4" w:space="0"/>
              <w:bottom w:val="single" w:color="auto" w:sz="4" w:space="0"/>
              <w:right w:val="single" w:color="000000" w:sz="4" w:space="0"/>
            </w:tcBorders>
          </w:tcPr>
          <w:p>
            <w:pPr>
              <w:jc w:val="left"/>
              <w:rPr>
                <w:rFonts w:ascii="宋体" w:hAnsi="宋体" w:cs="宋体"/>
                <w:color w:val="auto"/>
                <w:kern w:val="0"/>
                <w:sz w:val="22"/>
                <w:highlight w:val="none"/>
              </w:rPr>
            </w:pPr>
            <w:r>
              <w:rPr>
                <w:rFonts w:hint="eastAsia" w:ascii="宋体" w:hAnsi="宋体" w:cs="宋体"/>
                <w:color w:val="auto"/>
                <w:kern w:val="0"/>
                <w:sz w:val="22"/>
                <w:highlight w:val="none"/>
              </w:rPr>
              <w:t>名师类   优秀毕业生类</w:t>
            </w:r>
          </w:p>
          <w:p>
            <w:pPr>
              <w:jc w:val="left"/>
              <w:rPr>
                <w:rFonts w:ascii="宋体" w:hAnsi="宋体" w:cs="宋体"/>
                <w:color w:val="auto"/>
                <w:kern w:val="0"/>
                <w:sz w:val="22"/>
                <w:highlight w:val="none"/>
              </w:rPr>
            </w:pPr>
            <w:r>
              <w:rPr>
                <w:rFonts w:hint="eastAsia" w:ascii="宋体" w:hAnsi="宋体" w:cs="宋体"/>
                <w:color w:val="auto"/>
                <w:kern w:val="0"/>
                <w:sz w:val="22"/>
                <w:highlight w:val="none"/>
              </w:rPr>
              <w:t xml:space="preserve">（   ）  </w:t>
            </w:r>
            <w:r>
              <w:rPr>
                <w:rFonts w:ascii="宋体" w:hAnsi="宋体" w:cs="宋体"/>
                <w:color w:val="auto"/>
                <w:kern w:val="0"/>
                <w:sz w:val="22"/>
                <w:highlight w:val="none"/>
              </w:rPr>
              <w:t xml:space="preserve">   </w:t>
            </w:r>
            <w:r>
              <w:rPr>
                <w:rFonts w:hint="eastAsia" w:ascii="宋体" w:hAnsi="宋体" w:cs="宋体"/>
                <w:color w:val="auto"/>
                <w:kern w:val="0"/>
                <w:sz w:val="22"/>
                <w:highlight w:val="none"/>
              </w:rPr>
              <w:t>（   ）</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贴</w:t>
            </w:r>
            <w:r>
              <w:rPr>
                <w:color w:val="auto"/>
                <w:kern w:val="0"/>
                <w:sz w:val="22"/>
                <w:highlight w:val="none"/>
              </w:rPr>
              <w:t xml:space="preserve">                   </w:t>
            </w:r>
            <w:r>
              <w:rPr>
                <w:rFonts w:hint="eastAsia" w:ascii="宋体" w:hAnsi="宋体" w:cs="宋体"/>
                <w:color w:val="auto"/>
                <w:kern w:val="0"/>
                <w:sz w:val="22"/>
                <w:highlight w:val="none"/>
              </w:rPr>
              <w:t>一</w:t>
            </w:r>
            <w:r>
              <w:rPr>
                <w:color w:val="auto"/>
                <w:kern w:val="0"/>
                <w:sz w:val="22"/>
                <w:highlight w:val="none"/>
              </w:rPr>
              <w:t xml:space="preserve">                    </w:t>
            </w:r>
            <w:r>
              <w:rPr>
                <w:rFonts w:hint="eastAsia" w:ascii="宋体" w:hAnsi="宋体" w:cs="宋体"/>
                <w:color w:val="auto"/>
                <w:kern w:val="0"/>
                <w:sz w:val="22"/>
                <w:highlight w:val="none"/>
              </w:rPr>
              <w:t>寸</w:t>
            </w:r>
            <w:r>
              <w:rPr>
                <w:color w:val="auto"/>
                <w:kern w:val="0"/>
                <w:sz w:val="22"/>
                <w:highlight w:val="none"/>
              </w:rPr>
              <w:t xml:space="preserve">                           </w:t>
            </w:r>
            <w:r>
              <w:rPr>
                <w:rFonts w:hint="eastAsia" w:ascii="宋体" w:hAnsi="宋体" w:cs="宋体"/>
                <w:color w:val="auto"/>
                <w:kern w:val="0"/>
                <w:sz w:val="22"/>
                <w:highlight w:val="none"/>
              </w:rPr>
              <w:t>近</w:t>
            </w:r>
            <w:r>
              <w:rPr>
                <w:color w:val="auto"/>
                <w:kern w:val="0"/>
                <w:sz w:val="22"/>
                <w:highlight w:val="none"/>
              </w:rPr>
              <w:t xml:space="preserve">                        </w:t>
            </w:r>
            <w:r>
              <w:rPr>
                <w:rFonts w:hint="eastAsia" w:ascii="宋体" w:hAnsi="宋体" w:cs="宋体"/>
                <w:color w:val="auto"/>
                <w:kern w:val="0"/>
                <w:sz w:val="22"/>
                <w:highlight w:val="none"/>
              </w:rPr>
              <w:t>照</w:t>
            </w:r>
          </w:p>
        </w:tc>
      </w:tr>
      <w:tr>
        <w:tblPrEx>
          <w:tblCellMar>
            <w:top w:w="0" w:type="dxa"/>
            <w:left w:w="57" w:type="dxa"/>
            <w:bottom w:w="0" w:type="dxa"/>
            <w:right w:w="57" w:type="dxa"/>
          </w:tblCellMar>
        </w:tblPrEx>
        <w:trPr>
          <w:trHeight w:val="67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姓</w:t>
            </w:r>
            <w:r>
              <w:rPr>
                <w:color w:val="auto"/>
                <w:kern w:val="0"/>
                <w:sz w:val="22"/>
                <w:highlight w:val="none"/>
              </w:rPr>
              <w:t xml:space="preserve">  </w:t>
            </w:r>
            <w:r>
              <w:rPr>
                <w:rFonts w:hint="eastAsia" w:ascii="宋体" w:hAnsi="宋体" w:cs="宋体"/>
                <w:color w:val="auto"/>
                <w:kern w:val="0"/>
                <w:sz w:val="22"/>
                <w:highlight w:val="none"/>
              </w:rPr>
              <w:t>名</w:t>
            </w:r>
          </w:p>
        </w:tc>
        <w:tc>
          <w:tcPr>
            <w:tcW w:w="1119"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auto"/>
                <w:kern w:val="0"/>
                <w:sz w:val="22"/>
                <w:highlight w:val="none"/>
              </w:rPr>
            </w:pPr>
          </w:p>
        </w:tc>
        <w:tc>
          <w:tcPr>
            <w:tcW w:w="134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身份证号</w:t>
            </w:r>
          </w:p>
        </w:tc>
        <w:tc>
          <w:tcPr>
            <w:tcW w:w="2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highlight w:val="none"/>
              </w:rPr>
            </w:pPr>
          </w:p>
        </w:tc>
        <w:tc>
          <w:tcPr>
            <w:tcW w:w="29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highlight w:val="none"/>
              </w:rPr>
            </w:pPr>
          </w:p>
        </w:tc>
        <w:tc>
          <w:tcPr>
            <w:tcW w:w="29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highlight w:val="none"/>
              </w:rPr>
            </w:pPr>
          </w:p>
        </w:tc>
        <w:tc>
          <w:tcPr>
            <w:tcW w:w="2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highlight w:val="none"/>
              </w:rPr>
            </w:pPr>
          </w:p>
        </w:tc>
        <w:tc>
          <w:tcPr>
            <w:tcW w:w="2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highlight w:val="none"/>
              </w:rPr>
            </w:pPr>
          </w:p>
        </w:tc>
        <w:tc>
          <w:tcPr>
            <w:tcW w:w="2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highlight w:val="none"/>
              </w:rPr>
            </w:pPr>
          </w:p>
        </w:tc>
        <w:tc>
          <w:tcPr>
            <w:tcW w:w="29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highlight w:val="none"/>
              </w:rPr>
            </w:pPr>
          </w:p>
        </w:tc>
        <w:tc>
          <w:tcPr>
            <w:tcW w:w="2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highlight w:val="none"/>
              </w:rPr>
            </w:pPr>
          </w:p>
        </w:tc>
        <w:tc>
          <w:tcPr>
            <w:tcW w:w="2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highlight w:val="none"/>
              </w:rPr>
            </w:pPr>
          </w:p>
        </w:tc>
        <w:tc>
          <w:tcPr>
            <w:tcW w:w="2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highlight w:val="none"/>
              </w:rPr>
            </w:pPr>
          </w:p>
        </w:tc>
        <w:tc>
          <w:tcPr>
            <w:tcW w:w="2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highlight w:val="none"/>
              </w:rPr>
            </w:pPr>
          </w:p>
        </w:tc>
        <w:tc>
          <w:tcPr>
            <w:tcW w:w="29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highlight w:val="none"/>
              </w:rPr>
            </w:pPr>
          </w:p>
        </w:tc>
        <w:tc>
          <w:tcPr>
            <w:tcW w:w="29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highlight w:val="none"/>
              </w:rPr>
            </w:pPr>
          </w:p>
        </w:tc>
        <w:tc>
          <w:tcPr>
            <w:tcW w:w="2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highlight w:val="none"/>
              </w:rPr>
            </w:pPr>
          </w:p>
        </w:tc>
        <w:tc>
          <w:tcPr>
            <w:tcW w:w="29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highlight w:val="none"/>
              </w:rPr>
            </w:pPr>
          </w:p>
        </w:tc>
        <w:tc>
          <w:tcPr>
            <w:tcW w:w="2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highlight w:val="none"/>
              </w:rPr>
            </w:pPr>
          </w:p>
        </w:tc>
        <w:tc>
          <w:tcPr>
            <w:tcW w:w="2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highlight w:val="none"/>
              </w:rPr>
            </w:pPr>
          </w:p>
        </w:tc>
        <w:tc>
          <w:tcPr>
            <w:tcW w:w="31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highlight w:val="none"/>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highlight w:val="none"/>
              </w:rPr>
            </w:pPr>
          </w:p>
        </w:tc>
      </w:tr>
      <w:tr>
        <w:tblPrEx>
          <w:tblCellMar>
            <w:top w:w="0" w:type="dxa"/>
            <w:left w:w="57" w:type="dxa"/>
            <w:bottom w:w="0" w:type="dxa"/>
            <w:right w:w="57" w:type="dxa"/>
          </w:tblCellMar>
        </w:tblPrEx>
        <w:trPr>
          <w:trHeight w:val="661"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性</w:t>
            </w:r>
            <w:r>
              <w:rPr>
                <w:color w:val="auto"/>
                <w:kern w:val="0"/>
                <w:sz w:val="22"/>
                <w:highlight w:val="none"/>
              </w:rPr>
              <w:t xml:space="preserve">  </w:t>
            </w:r>
            <w:r>
              <w:rPr>
                <w:rFonts w:hint="eastAsia" w:ascii="宋体" w:hAnsi="宋体" w:cs="宋体"/>
                <w:color w:val="auto"/>
                <w:kern w:val="0"/>
                <w:sz w:val="22"/>
                <w:highlight w:val="none"/>
              </w:rPr>
              <w:t>别</w:t>
            </w:r>
          </w:p>
        </w:tc>
        <w:tc>
          <w:tcPr>
            <w:tcW w:w="1119" w:type="dxa"/>
            <w:gridSpan w:val="2"/>
            <w:tcBorders>
              <w:top w:val="single" w:color="auto" w:sz="4" w:space="0"/>
              <w:left w:val="nil"/>
              <w:bottom w:val="single" w:color="auto" w:sz="4" w:space="0"/>
              <w:right w:val="single" w:color="000000" w:sz="4" w:space="0"/>
            </w:tcBorders>
            <w:vAlign w:val="center"/>
          </w:tcPr>
          <w:p>
            <w:pPr>
              <w:widowControl/>
              <w:jc w:val="center"/>
              <w:rPr>
                <w:color w:val="auto"/>
                <w:kern w:val="0"/>
                <w:sz w:val="22"/>
                <w:highlight w:val="none"/>
              </w:rPr>
            </w:pPr>
          </w:p>
        </w:tc>
        <w:tc>
          <w:tcPr>
            <w:tcW w:w="134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出生年月</w:t>
            </w:r>
          </w:p>
        </w:tc>
        <w:tc>
          <w:tcPr>
            <w:tcW w:w="2328" w:type="dxa"/>
            <w:gridSpan w:val="12"/>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auto"/>
                <w:kern w:val="0"/>
                <w:sz w:val="22"/>
                <w:highlight w:val="none"/>
              </w:rPr>
            </w:pPr>
          </w:p>
        </w:tc>
        <w:tc>
          <w:tcPr>
            <w:tcW w:w="1164" w:type="dxa"/>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政治面貌</w:t>
            </w:r>
          </w:p>
        </w:tc>
        <w:tc>
          <w:tcPr>
            <w:tcW w:w="1773" w:type="dxa"/>
            <w:gridSpan w:val="8"/>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auto"/>
                <w:kern w:val="0"/>
                <w:sz w:val="22"/>
                <w:highlight w:val="none"/>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highlight w:val="none"/>
              </w:rPr>
            </w:pPr>
          </w:p>
        </w:tc>
      </w:tr>
      <w:tr>
        <w:tblPrEx>
          <w:tblCellMar>
            <w:top w:w="0" w:type="dxa"/>
            <w:left w:w="57" w:type="dxa"/>
            <w:bottom w:w="0" w:type="dxa"/>
            <w:right w:w="57" w:type="dxa"/>
          </w:tblCellMar>
        </w:tblPrEx>
        <w:trPr>
          <w:trHeight w:val="661"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现户籍所在地</w:t>
            </w:r>
          </w:p>
        </w:tc>
        <w:tc>
          <w:tcPr>
            <w:tcW w:w="246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highlight w:val="none"/>
              </w:rPr>
            </w:pPr>
          </w:p>
        </w:tc>
        <w:tc>
          <w:tcPr>
            <w:tcW w:w="3510" w:type="dxa"/>
            <w:gridSpan w:val="19"/>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属    性</w:t>
            </w:r>
          </w:p>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（请在括号内打“√”）</w:t>
            </w:r>
          </w:p>
        </w:tc>
        <w:tc>
          <w:tcPr>
            <w:tcW w:w="3075" w:type="dxa"/>
            <w:gridSpan w:val="8"/>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应 届 生（      ）</w:t>
            </w:r>
          </w:p>
          <w:p>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历 届 生（      ）</w:t>
            </w:r>
          </w:p>
        </w:tc>
      </w:tr>
      <w:tr>
        <w:tblPrEx>
          <w:tblCellMar>
            <w:top w:w="0" w:type="dxa"/>
            <w:left w:w="57" w:type="dxa"/>
            <w:bottom w:w="0" w:type="dxa"/>
            <w:right w:w="57" w:type="dxa"/>
          </w:tblCellMar>
        </w:tblPrEx>
        <w:trPr>
          <w:trHeight w:val="821"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本科</w:t>
            </w:r>
          </w:p>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毕业院校</w:t>
            </w:r>
          </w:p>
        </w:tc>
        <w:tc>
          <w:tcPr>
            <w:tcW w:w="246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p>
        </w:tc>
        <w:tc>
          <w:tcPr>
            <w:tcW w:w="727"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2"/>
                <w:highlight w:val="none"/>
              </w:rPr>
              <w:t>专业</w:t>
            </w:r>
          </w:p>
        </w:tc>
        <w:tc>
          <w:tcPr>
            <w:tcW w:w="1893"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p>
        </w:tc>
        <w:tc>
          <w:tcPr>
            <w:tcW w:w="87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是否</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2"/>
                <w:highlight w:val="none"/>
              </w:rPr>
              <w:t>师范类</w:t>
            </w:r>
          </w:p>
        </w:tc>
        <w:tc>
          <w:tcPr>
            <w:tcW w:w="82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p>
        </w:tc>
        <w:tc>
          <w:tcPr>
            <w:tcW w:w="946"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毕业</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2"/>
                <w:highlight w:val="none"/>
              </w:rPr>
              <w:t>时间</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highlight w:val="none"/>
              </w:rPr>
            </w:pPr>
          </w:p>
        </w:tc>
      </w:tr>
      <w:tr>
        <w:tblPrEx>
          <w:tblCellMar>
            <w:top w:w="0" w:type="dxa"/>
            <w:left w:w="57" w:type="dxa"/>
            <w:bottom w:w="0" w:type="dxa"/>
            <w:right w:w="57" w:type="dxa"/>
          </w:tblCellMar>
        </w:tblPrEx>
        <w:trPr>
          <w:trHeight w:val="833"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研究生</w:t>
            </w:r>
          </w:p>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毕业院校</w:t>
            </w:r>
          </w:p>
        </w:tc>
        <w:tc>
          <w:tcPr>
            <w:tcW w:w="246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p>
        </w:tc>
        <w:tc>
          <w:tcPr>
            <w:tcW w:w="727"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2"/>
                <w:highlight w:val="none"/>
              </w:rPr>
              <w:t>专业</w:t>
            </w:r>
          </w:p>
        </w:tc>
        <w:tc>
          <w:tcPr>
            <w:tcW w:w="3592" w:type="dxa"/>
            <w:gridSpan w:val="18"/>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p>
        </w:tc>
        <w:tc>
          <w:tcPr>
            <w:tcW w:w="946"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毕业</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2"/>
                <w:highlight w:val="none"/>
              </w:rPr>
              <w:t>时间</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highlight w:val="none"/>
              </w:rPr>
            </w:pPr>
          </w:p>
        </w:tc>
      </w:tr>
      <w:tr>
        <w:tblPrEx>
          <w:tblCellMar>
            <w:top w:w="0" w:type="dxa"/>
            <w:left w:w="57" w:type="dxa"/>
            <w:bottom w:w="0" w:type="dxa"/>
            <w:right w:w="57" w:type="dxa"/>
          </w:tblCellMar>
        </w:tblPrEx>
        <w:trPr>
          <w:trHeight w:val="1490" w:hRule="atLeast"/>
          <w:jc w:val="center"/>
        </w:trPr>
        <w:tc>
          <w:tcPr>
            <w:tcW w:w="1086" w:type="dxa"/>
            <w:tcBorders>
              <w:top w:val="single" w:color="auto" w:sz="4" w:space="0"/>
              <w:left w:val="single" w:color="auto" w:sz="4" w:space="0"/>
              <w:right w:val="single" w:color="auto" w:sz="4" w:space="0"/>
            </w:tcBorders>
            <w:vAlign w:val="center"/>
          </w:tcPr>
          <w:p>
            <w:pPr>
              <w:jc w:val="center"/>
              <w:rPr>
                <w:rFonts w:ascii="宋体" w:hAnsi="宋体" w:cs="宋体"/>
                <w:color w:val="auto"/>
                <w:spacing w:val="-20"/>
                <w:kern w:val="0"/>
                <w:sz w:val="22"/>
                <w:highlight w:val="none"/>
              </w:rPr>
            </w:pPr>
            <w:r>
              <w:rPr>
                <w:rFonts w:hint="eastAsia" w:ascii="宋体" w:hAnsi="宋体" w:cs="宋体"/>
                <w:color w:val="auto"/>
                <w:kern w:val="0"/>
                <w:sz w:val="22"/>
                <w:highlight w:val="none"/>
              </w:rPr>
              <w:t>荣誉称号、获奖或任职情况</w:t>
            </w:r>
          </w:p>
        </w:tc>
        <w:tc>
          <w:tcPr>
            <w:tcW w:w="9051" w:type="dxa"/>
            <w:gridSpan w:val="30"/>
            <w:tcBorders>
              <w:top w:val="single" w:color="auto" w:sz="4" w:space="0"/>
              <w:left w:val="nil"/>
              <w:bottom w:val="single" w:color="auto" w:sz="4" w:space="0"/>
              <w:right w:val="single" w:color="000000" w:sz="4" w:space="0"/>
            </w:tcBorders>
            <w:vAlign w:val="center"/>
          </w:tcPr>
          <w:p>
            <w:pPr>
              <w:widowControl/>
              <w:rPr>
                <w:rFonts w:ascii="宋体" w:hAnsi="宋体" w:cs="宋体"/>
                <w:color w:val="auto"/>
                <w:kern w:val="0"/>
                <w:sz w:val="22"/>
                <w:highlight w:val="none"/>
              </w:rPr>
            </w:pPr>
            <w:r>
              <w:rPr>
                <w:rFonts w:hint="eastAsia" w:ascii="宋体" w:hAnsi="宋体" w:cs="宋体"/>
                <w:color w:val="auto"/>
                <w:kern w:val="0"/>
                <w:sz w:val="22"/>
                <w:highlight w:val="none"/>
              </w:rPr>
              <w:t>（选择1-2项符合条件的填写即可）</w:t>
            </w:r>
          </w:p>
          <w:p>
            <w:pPr>
              <w:widowControl/>
              <w:rPr>
                <w:rFonts w:ascii="宋体" w:hAnsi="宋体" w:cs="宋体"/>
                <w:color w:val="auto"/>
                <w:kern w:val="0"/>
                <w:sz w:val="22"/>
                <w:highlight w:val="none"/>
              </w:rPr>
            </w:pPr>
          </w:p>
          <w:p>
            <w:pPr>
              <w:widowControl/>
              <w:rPr>
                <w:rFonts w:ascii="宋体" w:hAnsi="宋体" w:cs="宋体"/>
                <w:color w:val="auto"/>
                <w:kern w:val="0"/>
                <w:sz w:val="22"/>
                <w:highlight w:val="none"/>
              </w:rPr>
            </w:pPr>
          </w:p>
          <w:p>
            <w:pPr>
              <w:widowControl/>
              <w:rPr>
                <w:rFonts w:ascii="宋体" w:hAnsi="宋体" w:cs="宋体"/>
                <w:color w:val="auto"/>
                <w:kern w:val="0"/>
                <w:sz w:val="22"/>
                <w:highlight w:val="none"/>
              </w:rPr>
            </w:pPr>
          </w:p>
        </w:tc>
      </w:tr>
      <w:tr>
        <w:tblPrEx>
          <w:tblCellMar>
            <w:top w:w="0" w:type="dxa"/>
            <w:left w:w="57" w:type="dxa"/>
            <w:bottom w:w="0" w:type="dxa"/>
            <w:right w:w="57" w:type="dxa"/>
          </w:tblCellMar>
        </w:tblPrEx>
        <w:trPr>
          <w:trHeight w:val="71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家庭地址</w:t>
            </w:r>
          </w:p>
        </w:tc>
        <w:tc>
          <w:tcPr>
            <w:tcW w:w="9051" w:type="dxa"/>
            <w:gridSpan w:val="30"/>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auto"/>
                <w:kern w:val="0"/>
                <w:sz w:val="22"/>
                <w:highlight w:val="none"/>
              </w:rPr>
            </w:pPr>
          </w:p>
        </w:tc>
      </w:tr>
      <w:tr>
        <w:tblPrEx>
          <w:tblCellMar>
            <w:top w:w="0" w:type="dxa"/>
            <w:left w:w="57" w:type="dxa"/>
            <w:bottom w:w="0" w:type="dxa"/>
            <w:right w:w="57" w:type="dxa"/>
          </w:tblCellMar>
        </w:tblPrEx>
        <w:trPr>
          <w:trHeight w:val="731" w:hRule="atLeast"/>
          <w:jc w:val="center"/>
        </w:trPr>
        <w:tc>
          <w:tcPr>
            <w:tcW w:w="1086" w:type="dxa"/>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家庭电话</w:t>
            </w:r>
          </w:p>
        </w:tc>
        <w:tc>
          <w:tcPr>
            <w:tcW w:w="3205" w:type="dxa"/>
            <w:gridSpan w:val="8"/>
            <w:tcBorders>
              <w:top w:val="single" w:color="auto" w:sz="4" w:space="0"/>
              <w:left w:val="nil"/>
              <w:right w:val="single" w:color="auto" w:sz="4" w:space="0"/>
            </w:tcBorders>
            <w:vAlign w:val="center"/>
          </w:tcPr>
          <w:p>
            <w:pPr>
              <w:widowControl/>
              <w:rPr>
                <w:rFonts w:ascii="宋体" w:hAnsi="宋体" w:cs="宋体"/>
                <w:color w:val="auto"/>
                <w:kern w:val="0"/>
                <w:sz w:val="22"/>
                <w:highlight w:val="none"/>
              </w:rPr>
            </w:pPr>
          </w:p>
        </w:tc>
        <w:tc>
          <w:tcPr>
            <w:tcW w:w="2633" w:type="dxa"/>
            <w:gridSpan w:val="12"/>
            <w:tcBorders>
              <w:top w:val="single" w:color="auto" w:sz="4" w:space="0"/>
              <w:left w:val="nil"/>
              <w:right w:val="single" w:color="auto" w:sz="4" w:space="0"/>
            </w:tcBorders>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手机号码</w:t>
            </w:r>
          </w:p>
          <w:p>
            <w:pPr>
              <w:widowControl/>
              <w:jc w:val="center"/>
              <w:rPr>
                <w:rFonts w:ascii="宋体" w:hAnsi="宋体" w:cs="宋体"/>
                <w:b/>
                <w:color w:val="auto"/>
                <w:kern w:val="0"/>
                <w:sz w:val="22"/>
                <w:highlight w:val="none"/>
              </w:rPr>
            </w:pPr>
            <w:r>
              <w:rPr>
                <w:rFonts w:hint="eastAsia" w:ascii="宋体" w:hAnsi="宋体" w:cs="宋体"/>
                <w:b/>
                <w:color w:val="auto"/>
                <w:kern w:val="0"/>
                <w:sz w:val="22"/>
                <w:highlight w:val="none"/>
              </w:rPr>
              <w:t>（必须确保畅通）</w:t>
            </w:r>
          </w:p>
        </w:tc>
        <w:tc>
          <w:tcPr>
            <w:tcW w:w="3213" w:type="dxa"/>
            <w:gridSpan w:val="10"/>
            <w:tcBorders>
              <w:top w:val="single" w:color="auto" w:sz="4" w:space="0"/>
              <w:left w:val="single" w:color="auto" w:sz="4" w:space="0"/>
              <w:right w:val="single" w:color="000000" w:sz="4" w:space="0"/>
            </w:tcBorders>
            <w:vAlign w:val="center"/>
          </w:tcPr>
          <w:p>
            <w:pPr>
              <w:widowControl/>
              <w:rPr>
                <w:rFonts w:ascii="宋体" w:hAnsi="宋体" w:cs="宋体"/>
                <w:color w:val="auto"/>
                <w:kern w:val="0"/>
                <w:sz w:val="22"/>
                <w:highlight w:val="none"/>
              </w:rPr>
            </w:pPr>
          </w:p>
        </w:tc>
      </w:tr>
      <w:tr>
        <w:tblPrEx>
          <w:tblCellMar>
            <w:top w:w="0" w:type="dxa"/>
            <w:left w:w="57" w:type="dxa"/>
            <w:bottom w:w="0" w:type="dxa"/>
            <w:right w:w="57" w:type="dxa"/>
          </w:tblCellMar>
        </w:tblPrEx>
        <w:trPr>
          <w:trHeight w:val="1773" w:hRule="atLeast"/>
          <w:jc w:val="center"/>
        </w:trPr>
        <w:tc>
          <w:tcPr>
            <w:tcW w:w="1086"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学习   工作   简历</w:t>
            </w:r>
          </w:p>
        </w:tc>
        <w:tc>
          <w:tcPr>
            <w:tcW w:w="9051" w:type="dxa"/>
            <w:gridSpan w:val="30"/>
            <w:tcBorders>
              <w:top w:val="single" w:color="auto" w:sz="4" w:space="0"/>
              <w:left w:val="nil"/>
              <w:bottom w:val="single" w:color="auto" w:sz="4" w:space="0"/>
              <w:right w:val="single" w:color="000000" w:sz="4" w:space="0"/>
            </w:tcBorders>
          </w:tcPr>
          <w:p>
            <w:pPr>
              <w:widowControl/>
              <w:rPr>
                <w:rFonts w:ascii="宋体" w:hAnsi="宋体" w:cs="宋体"/>
                <w:color w:val="auto"/>
                <w:kern w:val="0"/>
                <w:sz w:val="22"/>
                <w:highlight w:val="none"/>
              </w:rPr>
            </w:pPr>
            <w:r>
              <w:rPr>
                <w:rFonts w:hint="eastAsia" w:ascii="宋体" w:hAnsi="宋体" w:cs="宋体"/>
                <w:color w:val="auto"/>
                <w:kern w:val="0"/>
                <w:sz w:val="22"/>
                <w:highlight w:val="none"/>
              </w:rPr>
              <w:t>请从高中开始填写（中间不能断）</w:t>
            </w:r>
          </w:p>
          <w:p>
            <w:pPr>
              <w:widowControl/>
              <w:rPr>
                <w:rFonts w:ascii="宋体" w:hAnsi="宋体" w:cs="宋体"/>
                <w:color w:val="auto"/>
                <w:kern w:val="0"/>
                <w:sz w:val="22"/>
                <w:highlight w:val="none"/>
              </w:rPr>
            </w:pPr>
          </w:p>
          <w:p>
            <w:pPr>
              <w:widowControl/>
              <w:rPr>
                <w:rFonts w:ascii="宋体" w:hAnsi="宋体" w:cs="宋体"/>
                <w:color w:val="auto"/>
                <w:kern w:val="0"/>
                <w:sz w:val="22"/>
                <w:highlight w:val="none"/>
              </w:rPr>
            </w:pPr>
          </w:p>
          <w:p>
            <w:pPr>
              <w:widowControl/>
              <w:rPr>
                <w:rFonts w:ascii="宋体" w:hAnsi="宋体" w:cs="宋体"/>
                <w:color w:val="auto"/>
                <w:kern w:val="0"/>
                <w:sz w:val="22"/>
                <w:highlight w:val="none"/>
              </w:rPr>
            </w:pPr>
          </w:p>
          <w:p>
            <w:pPr>
              <w:widowControl/>
              <w:rPr>
                <w:rFonts w:ascii="宋体" w:hAnsi="宋体" w:cs="宋体"/>
                <w:color w:val="auto"/>
                <w:kern w:val="0"/>
                <w:sz w:val="22"/>
                <w:highlight w:val="none"/>
              </w:rPr>
            </w:pPr>
          </w:p>
        </w:tc>
      </w:tr>
      <w:tr>
        <w:tblPrEx>
          <w:tblCellMar>
            <w:top w:w="0" w:type="dxa"/>
            <w:left w:w="57" w:type="dxa"/>
            <w:bottom w:w="0" w:type="dxa"/>
            <w:right w:w="57" w:type="dxa"/>
          </w:tblCellMar>
        </w:tblPrEx>
        <w:trPr>
          <w:trHeight w:val="1165" w:hRule="atLeast"/>
          <w:jc w:val="center"/>
        </w:trPr>
        <w:tc>
          <w:tcPr>
            <w:tcW w:w="10137" w:type="dxa"/>
            <w:gridSpan w:val="31"/>
            <w:tcBorders>
              <w:top w:val="single" w:color="auto" w:sz="4" w:space="0"/>
              <w:left w:val="single" w:color="auto" w:sz="4" w:space="0"/>
              <w:bottom w:val="single" w:color="auto" w:sz="4" w:space="0"/>
              <w:right w:val="single" w:color="000000" w:sz="4" w:space="0"/>
            </w:tcBorders>
            <w:vAlign w:val="center"/>
          </w:tcPr>
          <w:p>
            <w:pPr>
              <w:ind w:firstLine="880" w:firstLineChars="400"/>
              <w:rPr>
                <w:rFonts w:ascii="宋体" w:hAnsi="宋体" w:cs="宋体"/>
                <w:color w:val="auto"/>
                <w:kern w:val="0"/>
                <w:sz w:val="22"/>
                <w:highlight w:val="none"/>
              </w:rPr>
            </w:pPr>
            <w:r>
              <w:rPr>
                <w:rFonts w:hint="eastAsia" w:ascii="宋体" w:hAnsi="宋体" w:cs="宋体"/>
                <w:color w:val="auto"/>
                <w:kern w:val="0"/>
                <w:sz w:val="22"/>
                <w:highlight w:val="none"/>
              </w:rPr>
              <w:t>本人承诺：以上提交的材料真实有效，如有虚假或隐瞒，愿承担相应责任。</w:t>
            </w:r>
          </w:p>
          <w:p>
            <w:pPr>
              <w:jc w:val="center"/>
              <w:rPr>
                <w:rFonts w:ascii="宋体" w:hAnsi="宋体" w:cs="宋体"/>
                <w:color w:val="auto"/>
                <w:kern w:val="0"/>
                <w:sz w:val="22"/>
                <w:highlight w:val="none"/>
              </w:rPr>
            </w:pPr>
          </w:p>
          <w:p>
            <w:pPr>
              <w:widowControl/>
              <w:rPr>
                <w:rFonts w:ascii="宋体" w:hAnsi="宋体" w:cs="宋体"/>
                <w:color w:val="auto"/>
                <w:kern w:val="0"/>
                <w:sz w:val="22"/>
                <w:highlight w:val="none"/>
              </w:rPr>
            </w:pPr>
            <w:r>
              <w:rPr>
                <w:rFonts w:hint="eastAsia" w:ascii="宋体" w:hAnsi="宋体" w:cs="宋体"/>
                <w:color w:val="auto"/>
                <w:kern w:val="0"/>
                <w:sz w:val="22"/>
                <w:highlight w:val="none"/>
              </w:rPr>
              <w:t xml:space="preserve">                                                 承诺人签名（须手签）：</w:t>
            </w:r>
          </w:p>
        </w:tc>
      </w:tr>
      <w:tr>
        <w:tblPrEx>
          <w:tblCellMar>
            <w:top w:w="0" w:type="dxa"/>
            <w:left w:w="57" w:type="dxa"/>
            <w:bottom w:w="0" w:type="dxa"/>
            <w:right w:w="57" w:type="dxa"/>
          </w:tblCellMar>
        </w:tblPrEx>
        <w:trPr>
          <w:trHeight w:val="2491"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资格</w:t>
            </w:r>
          </w:p>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初审</w:t>
            </w:r>
          </w:p>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意见</w:t>
            </w:r>
          </w:p>
        </w:tc>
        <w:tc>
          <w:tcPr>
            <w:tcW w:w="4426" w:type="dxa"/>
            <w:gridSpan w:val="13"/>
            <w:tcBorders>
              <w:top w:val="single" w:color="auto" w:sz="4" w:space="0"/>
              <w:left w:val="single" w:color="auto" w:sz="4" w:space="0"/>
              <w:bottom w:val="single" w:color="auto" w:sz="4" w:space="0"/>
              <w:right w:val="single" w:color="auto" w:sz="4" w:space="0"/>
            </w:tcBorders>
          </w:tcPr>
          <w:p>
            <w:pPr>
              <w:widowControl/>
              <w:ind w:firstLine="110" w:firstLineChars="50"/>
              <w:rPr>
                <w:rFonts w:ascii="宋体" w:hAnsi="宋体" w:cs="宋体"/>
                <w:color w:val="auto"/>
                <w:kern w:val="0"/>
                <w:sz w:val="22"/>
                <w:highlight w:val="none"/>
              </w:rPr>
            </w:pPr>
          </w:p>
          <w:p>
            <w:pPr>
              <w:widowControl/>
              <w:ind w:firstLine="110" w:firstLineChars="50"/>
              <w:rPr>
                <w:rFonts w:ascii="宋体" w:hAnsi="宋体" w:cs="宋体"/>
                <w:color w:val="auto"/>
                <w:kern w:val="0"/>
                <w:sz w:val="22"/>
                <w:highlight w:val="none"/>
              </w:rPr>
            </w:pPr>
          </w:p>
          <w:p>
            <w:pPr>
              <w:widowControl/>
              <w:ind w:firstLine="110" w:firstLineChars="50"/>
              <w:rPr>
                <w:rFonts w:ascii="宋体" w:hAnsi="宋体" w:cs="宋体"/>
                <w:color w:val="auto"/>
                <w:kern w:val="0"/>
                <w:sz w:val="22"/>
                <w:highlight w:val="none"/>
              </w:rPr>
            </w:pPr>
          </w:p>
          <w:p>
            <w:pPr>
              <w:widowControl/>
              <w:ind w:firstLine="110" w:firstLineChars="50"/>
              <w:rPr>
                <w:rFonts w:ascii="宋体" w:hAnsi="宋体" w:cs="宋体"/>
                <w:color w:val="auto"/>
                <w:kern w:val="0"/>
                <w:sz w:val="22"/>
                <w:highlight w:val="none"/>
              </w:rPr>
            </w:pPr>
          </w:p>
          <w:p>
            <w:pPr>
              <w:widowControl/>
              <w:ind w:firstLine="110" w:firstLineChars="50"/>
              <w:rPr>
                <w:rFonts w:ascii="宋体" w:hAnsi="宋体" w:cs="宋体"/>
                <w:color w:val="auto"/>
                <w:kern w:val="0"/>
                <w:sz w:val="22"/>
                <w:highlight w:val="none"/>
              </w:rPr>
            </w:pPr>
          </w:p>
          <w:p>
            <w:pPr>
              <w:widowControl/>
              <w:ind w:firstLine="110" w:firstLineChars="50"/>
              <w:rPr>
                <w:rFonts w:ascii="宋体" w:hAnsi="宋体" w:cs="宋体"/>
                <w:color w:val="auto"/>
                <w:kern w:val="0"/>
                <w:sz w:val="22"/>
                <w:highlight w:val="none"/>
              </w:rPr>
            </w:pPr>
            <w:r>
              <w:rPr>
                <w:rFonts w:hint="eastAsia" w:ascii="宋体" w:hAnsi="宋体" w:cs="宋体"/>
                <w:color w:val="auto"/>
                <w:kern w:val="0"/>
                <w:sz w:val="22"/>
                <w:highlight w:val="none"/>
              </w:rPr>
              <w:t xml:space="preserve"> 初审人员签名：</w:t>
            </w:r>
          </w:p>
          <w:p>
            <w:pPr>
              <w:widowControl/>
              <w:ind w:firstLine="110" w:firstLineChars="50"/>
              <w:rPr>
                <w:rFonts w:ascii="宋体" w:hAnsi="宋体" w:cs="宋体"/>
                <w:color w:val="auto"/>
                <w:kern w:val="0"/>
                <w:sz w:val="22"/>
                <w:highlight w:val="none"/>
              </w:rPr>
            </w:pPr>
          </w:p>
          <w:p>
            <w:pPr>
              <w:widowControl/>
              <w:ind w:firstLine="2640" w:firstLineChars="1200"/>
              <w:rPr>
                <w:rFonts w:ascii="宋体" w:hAnsi="宋体" w:eastAsia="宋体" w:cs="宋体"/>
                <w:color w:val="auto"/>
                <w:kern w:val="0"/>
                <w:sz w:val="22"/>
                <w:highlight w:val="none"/>
              </w:rPr>
            </w:pPr>
            <w:r>
              <w:rPr>
                <w:rFonts w:hint="eastAsia" w:ascii="宋体" w:hAnsi="宋体" w:cs="宋体"/>
                <w:color w:val="auto"/>
                <w:kern w:val="0"/>
                <w:sz w:val="22"/>
                <w:highlight w:val="none"/>
              </w:rPr>
              <w:t>年   月   日</w:t>
            </w:r>
          </w:p>
        </w:tc>
        <w:tc>
          <w:tcPr>
            <w:tcW w:w="1289"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资格</w:t>
            </w:r>
          </w:p>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复审</w:t>
            </w:r>
          </w:p>
          <w:p>
            <w:pPr>
              <w:widowControl/>
              <w:ind w:firstLine="110" w:firstLineChars="50"/>
              <w:jc w:val="center"/>
              <w:rPr>
                <w:rFonts w:ascii="宋体" w:hAnsi="宋体" w:cs="宋体"/>
                <w:color w:val="auto"/>
                <w:kern w:val="0"/>
                <w:sz w:val="22"/>
                <w:highlight w:val="none"/>
              </w:rPr>
            </w:pPr>
            <w:r>
              <w:rPr>
                <w:rFonts w:hint="eastAsia" w:ascii="宋体" w:hAnsi="宋体" w:cs="宋体"/>
                <w:color w:val="auto"/>
                <w:kern w:val="0"/>
                <w:sz w:val="22"/>
                <w:highlight w:val="none"/>
              </w:rPr>
              <w:t>意见</w:t>
            </w:r>
          </w:p>
        </w:tc>
        <w:tc>
          <w:tcPr>
            <w:tcW w:w="3336" w:type="dxa"/>
            <w:gridSpan w:val="11"/>
            <w:tcBorders>
              <w:top w:val="single" w:color="auto" w:sz="4" w:space="0"/>
              <w:left w:val="single" w:color="auto" w:sz="4" w:space="0"/>
              <w:bottom w:val="single" w:color="auto" w:sz="4" w:space="0"/>
              <w:right w:val="single" w:color="auto" w:sz="4" w:space="0"/>
            </w:tcBorders>
          </w:tcPr>
          <w:p>
            <w:pPr>
              <w:widowControl/>
              <w:ind w:firstLine="110" w:firstLineChars="50"/>
              <w:rPr>
                <w:rFonts w:ascii="宋体" w:hAnsi="宋体" w:cs="宋体"/>
                <w:color w:val="auto"/>
                <w:kern w:val="0"/>
                <w:sz w:val="22"/>
                <w:highlight w:val="none"/>
              </w:rPr>
            </w:pPr>
          </w:p>
          <w:p>
            <w:pPr>
              <w:widowControl/>
              <w:ind w:firstLine="110" w:firstLineChars="50"/>
              <w:rPr>
                <w:rFonts w:ascii="宋体" w:hAnsi="宋体" w:cs="宋体"/>
                <w:color w:val="auto"/>
                <w:kern w:val="0"/>
                <w:sz w:val="22"/>
                <w:highlight w:val="none"/>
              </w:rPr>
            </w:pPr>
          </w:p>
          <w:p>
            <w:pPr>
              <w:widowControl/>
              <w:ind w:firstLine="110" w:firstLineChars="50"/>
              <w:rPr>
                <w:rFonts w:ascii="宋体" w:hAnsi="宋体" w:cs="宋体"/>
                <w:color w:val="auto"/>
                <w:kern w:val="0"/>
                <w:sz w:val="22"/>
                <w:highlight w:val="none"/>
              </w:rPr>
            </w:pPr>
          </w:p>
          <w:p>
            <w:pPr>
              <w:widowControl/>
              <w:ind w:firstLine="110" w:firstLineChars="50"/>
              <w:rPr>
                <w:rFonts w:ascii="宋体" w:hAnsi="宋体" w:cs="宋体"/>
                <w:color w:val="auto"/>
                <w:kern w:val="0"/>
                <w:sz w:val="22"/>
                <w:highlight w:val="none"/>
              </w:rPr>
            </w:pPr>
          </w:p>
          <w:p>
            <w:pPr>
              <w:widowControl/>
              <w:ind w:firstLine="550" w:firstLineChars="250"/>
              <w:rPr>
                <w:rFonts w:ascii="宋体" w:hAnsi="宋体" w:cs="宋体"/>
                <w:color w:val="auto"/>
                <w:kern w:val="0"/>
                <w:sz w:val="22"/>
                <w:highlight w:val="none"/>
              </w:rPr>
            </w:pPr>
          </w:p>
          <w:p>
            <w:pPr>
              <w:widowControl/>
              <w:rPr>
                <w:rFonts w:ascii="宋体" w:hAnsi="宋体" w:cs="宋体"/>
                <w:color w:val="auto"/>
                <w:kern w:val="0"/>
                <w:sz w:val="22"/>
                <w:highlight w:val="none"/>
              </w:rPr>
            </w:pPr>
            <w:r>
              <w:rPr>
                <w:rFonts w:hint="eastAsia" w:ascii="宋体" w:hAnsi="宋体" w:cs="宋体"/>
                <w:color w:val="auto"/>
                <w:kern w:val="0"/>
                <w:sz w:val="22"/>
                <w:highlight w:val="none"/>
              </w:rPr>
              <w:t>复审人员签名：</w:t>
            </w:r>
          </w:p>
          <w:p>
            <w:pPr>
              <w:widowControl/>
              <w:rPr>
                <w:rFonts w:ascii="宋体" w:hAnsi="宋体" w:cs="宋体"/>
                <w:color w:val="auto"/>
                <w:kern w:val="0"/>
                <w:sz w:val="22"/>
                <w:highlight w:val="none"/>
              </w:rPr>
            </w:pPr>
          </w:p>
          <w:p>
            <w:pPr>
              <w:widowControl/>
              <w:ind w:firstLine="1760" w:firstLineChars="800"/>
              <w:rPr>
                <w:rFonts w:ascii="宋体" w:hAnsi="宋体" w:cs="宋体"/>
                <w:color w:val="auto"/>
                <w:kern w:val="0"/>
                <w:sz w:val="22"/>
                <w:highlight w:val="none"/>
              </w:rPr>
            </w:pPr>
            <w:r>
              <w:rPr>
                <w:rFonts w:hint="eastAsia" w:ascii="宋体" w:hAnsi="宋体" w:cs="宋体"/>
                <w:color w:val="auto"/>
                <w:kern w:val="0"/>
                <w:sz w:val="22"/>
                <w:highlight w:val="none"/>
              </w:rPr>
              <w:t>年   月   日</w:t>
            </w:r>
          </w:p>
        </w:tc>
      </w:tr>
    </w:tbl>
    <w:p>
      <w:pPr>
        <w:spacing w:line="300" w:lineRule="auto"/>
        <w:jc w:val="center"/>
        <w:rPr>
          <w:rFonts w:ascii="宋体" w:hAnsi="宋体" w:eastAsia="宋体"/>
          <w:color w:val="auto"/>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B67980"/>
    <w:multiLevelType w:val="multilevel"/>
    <w:tmpl w:val="28B6798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700"/>
    <w:rsid w:val="00042DE6"/>
    <w:rsid w:val="0005150A"/>
    <w:rsid w:val="000B3A0B"/>
    <w:rsid w:val="000B505F"/>
    <w:rsid w:val="00112FBC"/>
    <w:rsid w:val="00124131"/>
    <w:rsid w:val="00143005"/>
    <w:rsid w:val="002D1168"/>
    <w:rsid w:val="0034319C"/>
    <w:rsid w:val="00366B9A"/>
    <w:rsid w:val="003D4F17"/>
    <w:rsid w:val="003E24D4"/>
    <w:rsid w:val="003E7380"/>
    <w:rsid w:val="00413700"/>
    <w:rsid w:val="00415FB9"/>
    <w:rsid w:val="00490465"/>
    <w:rsid w:val="004C5DB6"/>
    <w:rsid w:val="00517104"/>
    <w:rsid w:val="00552721"/>
    <w:rsid w:val="005C7F05"/>
    <w:rsid w:val="005F21EC"/>
    <w:rsid w:val="006465F4"/>
    <w:rsid w:val="0065057B"/>
    <w:rsid w:val="006514CC"/>
    <w:rsid w:val="00654076"/>
    <w:rsid w:val="00660583"/>
    <w:rsid w:val="006A1903"/>
    <w:rsid w:val="006F37B5"/>
    <w:rsid w:val="007049AC"/>
    <w:rsid w:val="00710AF2"/>
    <w:rsid w:val="007859BD"/>
    <w:rsid w:val="0079128A"/>
    <w:rsid w:val="007A3826"/>
    <w:rsid w:val="007E0144"/>
    <w:rsid w:val="0084514D"/>
    <w:rsid w:val="00847B43"/>
    <w:rsid w:val="00936436"/>
    <w:rsid w:val="009B1F39"/>
    <w:rsid w:val="00A22A22"/>
    <w:rsid w:val="00A50C21"/>
    <w:rsid w:val="00AF7F82"/>
    <w:rsid w:val="00B04561"/>
    <w:rsid w:val="00B15AB0"/>
    <w:rsid w:val="00B41AE2"/>
    <w:rsid w:val="00B43CC8"/>
    <w:rsid w:val="00B558F7"/>
    <w:rsid w:val="00BA29A5"/>
    <w:rsid w:val="00C5336E"/>
    <w:rsid w:val="00CB708A"/>
    <w:rsid w:val="00D47871"/>
    <w:rsid w:val="00DB770F"/>
    <w:rsid w:val="00DF6541"/>
    <w:rsid w:val="00E11A86"/>
    <w:rsid w:val="00E300A6"/>
    <w:rsid w:val="00E4224E"/>
    <w:rsid w:val="00E42502"/>
    <w:rsid w:val="00E7389E"/>
    <w:rsid w:val="00EA128E"/>
    <w:rsid w:val="00EC5380"/>
    <w:rsid w:val="00F750EF"/>
    <w:rsid w:val="00F932C8"/>
    <w:rsid w:val="00FC4500"/>
    <w:rsid w:val="00FC70F7"/>
    <w:rsid w:val="00FE2D9F"/>
    <w:rsid w:val="18C122AD"/>
    <w:rsid w:val="319E0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4"/>
    <w:semiHidden/>
    <w:unhideWhenUsed/>
    <w:qFormat/>
    <w:uiPriority w:val="99"/>
    <w:pPr>
      <w:ind w:left="100" w:leftChars="2500"/>
    </w:pPr>
  </w:style>
  <w:style w:type="paragraph" w:styleId="4">
    <w:name w:val="footer"/>
    <w:basedOn w:val="1"/>
    <w:link w:val="17"/>
    <w:unhideWhenUsed/>
    <w:uiPriority w:val="99"/>
    <w:pPr>
      <w:tabs>
        <w:tab w:val="center" w:pos="4153"/>
        <w:tab w:val="right" w:pos="8306"/>
      </w:tabs>
      <w:snapToGrid w:val="0"/>
      <w:jc w:val="left"/>
    </w:pPr>
    <w:rPr>
      <w:sz w:val="18"/>
      <w:szCs w:val="18"/>
    </w:rPr>
  </w:style>
  <w:style w:type="paragraph" w:styleId="5">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2 字符"/>
    <w:basedOn w:val="9"/>
    <w:link w:val="2"/>
    <w:qFormat/>
    <w:uiPriority w:val="9"/>
    <w:rPr>
      <w:rFonts w:ascii="宋体" w:hAnsi="宋体" w:eastAsia="宋体" w:cs="宋体"/>
      <w:b/>
      <w:bCs/>
      <w:kern w:val="0"/>
      <w:sz w:val="36"/>
      <w:szCs w:val="36"/>
    </w:rPr>
  </w:style>
  <w:style w:type="paragraph" w:styleId="13">
    <w:name w:val="List Paragraph"/>
    <w:basedOn w:val="1"/>
    <w:qFormat/>
    <w:uiPriority w:val="34"/>
    <w:pPr>
      <w:ind w:firstLine="420" w:firstLineChars="200"/>
    </w:pPr>
  </w:style>
  <w:style w:type="character" w:customStyle="1" w:styleId="14">
    <w:name w:val="日期 字符"/>
    <w:basedOn w:val="9"/>
    <w:link w:val="3"/>
    <w:semiHidden/>
    <w:qFormat/>
    <w:uiPriority w:val="99"/>
  </w:style>
  <w:style w:type="paragraph" w:customStyle="1" w:styleId="15">
    <w:name w:val="_Style 6"/>
    <w:basedOn w:val="1"/>
    <w:uiPriority w:val="0"/>
    <w:rPr>
      <w:rFonts w:ascii="仿宋_GB2312" w:hAnsi="Times New Roman" w:eastAsia="仿宋_GB2312" w:cs="Times New Roman"/>
      <w:b/>
      <w:sz w:val="32"/>
      <w:szCs w:val="32"/>
    </w:rPr>
  </w:style>
  <w:style w:type="character" w:customStyle="1" w:styleId="16">
    <w:name w:val="页眉 字符"/>
    <w:basedOn w:val="9"/>
    <w:link w:val="5"/>
    <w:uiPriority w:val="99"/>
    <w:rPr>
      <w:sz w:val="18"/>
      <w:szCs w:val="18"/>
    </w:rPr>
  </w:style>
  <w:style w:type="character" w:customStyle="1" w:styleId="17">
    <w:name w:val="页脚 字符"/>
    <w:basedOn w:val="9"/>
    <w:link w:val="4"/>
    <w:qFormat/>
    <w:uiPriority w:val="99"/>
    <w:rPr>
      <w:sz w:val="18"/>
      <w:szCs w:val="18"/>
    </w:rPr>
  </w:style>
  <w:style w:type="character" w:customStyle="1" w:styleId="18">
    <w:name w:val="未处理的提及1"/>
    <w:basedOn w:val="9"/>
    <w:semiHidden/>
    <w:unhideWhenUsed/>
    <w:uiPriority w:val="99"/>
    <w:rPr>
      <w:color w:val="605E5C"/>
      <w:shd w:val="clear" w:color="auto" w:fill="E1DFDD"/>
    </w:rPr>
  </w:style>
  <w:style w:type="character" w:customStyle="1" w:styleId="19">
    <w:name w:val="Unresolved Mention"/>
    <w:basedOn w:val="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665</Words>
  <Characters>3792</Characters>
  <Lines>31</Lines>
  <Paragraphs>8</Paragraphs>
  <TotalTime>1</TotalTime>
  <ScaleCrop>false</ScaleCrop>
  <LinksUpToDate>false</LinksUpToDate>
  <CharactersWithSpaces>4449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2021-03-21T06:25:00Z</dcterms:created>
  <dc:creator>luo mj</dc:creator>
  <cp:lastModifiedBy>Admin</cp:lastModifiedBy>
  <cp:lastPrinted>2022-02-22T03:40:00Z</cp:lastPrinted>
  <dcterms:modified xsi:type="dcterms:W3CDTF">2022-02-22T05:20:26Z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A6C9BA2DC465435B9E5D5D52087252EB</vt:lpwstr>
  </property>
</Properties>
</file>