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bookmarkStart w:id="0" w:name="_GoBack"/>
      <w:bookmarkEnd w:id="0"/>
      <w:r>
        <w:rPr>
          <w:rFonts w:hint="eastAsia" w:ascii="黑体" w:hAnsi="黑体" w:eastAsia="黑体" w:cs="黑体"/>
          <w:color w:val="000000" w:themeColor="text1"/>
          <w:sz w:val="32"/>
          <w:szCs w:val="32"/>
          <w14:textFill>
            <w14:solidFill>
              <w14:schemeClr w14:val="tx1"/>
            </w14:solidFill>
          </w14:textFill>
        </w:rPr>
        <w:t>：</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ascii="方正小标宋简体" w:hAnsi="方正小标宋简体" w:eastAsia="方正小标宋简体" w:cs="方正小标宋简体"/>
          <w:color w:val="000000" w:themeColor="text1"/>
          <w:kern w:val="0"/>
          <w:sz w:val="36"/>
          <w:szCs w:val="36"/>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 xml:space="preserve">2022年桓台县卫生健康系统事业单位      </w:t>
      </w:r>
    </w:p>
    <w:p>
      <w:pPr>
        <w:spacing w:line="600" w:lineRule="exact"/>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 xml:space="preserve">     公开招聘卫生专业技术人员应聘须知</w:t>
      </w:r>
    </w:p>
    <w:p>
      <w:pPr>
        <w:spacing w:line="560" w:lineRule="exact"/>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p>
    <w:p>
      <w:pPr>
        <w:numPr>
          <w:ilvl w:val="0"/>
          <w:numId w:val="1"/>
        </w:num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目  录</w:t>
      </w: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spacing w:line="560" w:lineRule="exact"/>
        <w:ind w:firstLine="704" w:firstLineChars="220"/>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三、报名表备注栏填写要求</w:t>
      </w: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四、面向高校毕业生岗位招聘范围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五、免笔试考务费认定</w:t>
      </w:r>
    </w:p>
    <w:p>
      <w:pPr>
        <w:tabs>
          <w:tab w:val="left" w:pos="7035"/>
        </w:tabs>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六、疫情防控相关要求</w:t>
      </w:r>
      <w:r>
        <w:rPr>
          <w:rFonts w:hint="eastAsia" w:ascii="仿宋_GB2312" w:eastAsia="仿宋_GB2312"/>
          <w:color w:val="000000" w:themeColor="text1"/>
          <w:sz w:val="32"/>
          <w:szCs w:val="32"/>
          <w14:textFill>
            <w14:solidFill>
              <w14:schemeClr w14:val="tx1"/>
            </w14:solidFill>
          </w14:textFill>
        </w:rPr>
        <w:tab/>
      </w: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七、现场资格审查时需提交的主要材料</w:t>
      </w: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 正  文</w:t>
      </w:r>
    </w:p>
    <w:p>
      <w:pPr>
        <w:spacing w:line="560" w:lineRule="exact"/>
        <w:rPr>
          <w:rFonts w:ascii="黑体" w:hAnsi="黑体" w:eastAsia="黑体"/>
          <w:color w:val="000000" w:themeColor="text1"/>
          <w:sz w:val="32"/>
          <w:szCs w:val="32"/>
          <w14:textFill>
            <w14:solidFill>
              <w14:schemeClr w14:val="tx1"/>
            </w14:solidFill>
          </w14:textFill>
        </w:rPr>
      </w:pPr>
    </w:p>
    <w:p>
      <w:pPr>
        <w:tabs>
          <w:tab w:val="right" w:pos="8306"/>
        </w:tabs>
        <w:spacing w:line="560" w:lineRule="exact"/>
        <w:ind w:firstLine="704" w:firstLineChars="220"/>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（一）招聘岗位的学历、学位、专业、方向等条件有对应关系。</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高校自主设立的专业是否符合招聘专业要求，由招聘单位认定。</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（五）现役军人。</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三、报名表备注栏填写要求</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（一）对于岗位要求具有执业医师资格的，应在备注栏内注明“已取得执业医师资格，执业范围为xx”，已进行执业资格注册的还应注明“已进行执业资格注册，注册执业范围xx”。</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已通过执业医师资格考试，尚未发证的，应在备注栏内注明“2021年已通过执业医师考试”。</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（二）对于岗位要求规培合格的，应在备注栏内注明“于xx年xx月取得规培合格证”或明确描述无需规培原因。</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（三）对于所学专业与报考岗位要求专业符合新旧专业对照关系的，应在备注栏内注明“根据xx版教育部《新旧专业对照表》xx专业与xx专业为对应专业”。</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（四）对于所学专业非教育部专业目录列明专业，与岗位要求专业不一致，考生个人认为与报考岗位专业为相近专业的，应在备注栏内注明所学专业课程。</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（五）现场资格审核时要求提供其他材料的，网上报名时应对将要提交材料进行说明。</w:t>
      </w:r>
    </w:p>
    <w:p>
      <w:pPr>
        <w:spacing w:line="560" w:lineRule="exact"/>
        <w:ind w:firstLine="704" w:firstLineChars="220"/>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（六）其他承诺事项及需要说明的事项应一并提前在“备注栏”中说明。</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四、面向高校毕业生岗位招聘范围</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面向高校毕业生岗位，招聘范围为2022年应届高校毕业生及择业期（二年）内未落实过工作单位的高校毕业生。</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五、免笔试考务费认定</w:t>
      </w:r>
    </w:p>
    <w:p>
      <w:pPr>
        <w:spacing w:line="560" w:lineRule="exact"/>
        <w:ind w:firstLine="704" w:firstLineChars="220"/>
        <w:outlineLvl w:val="1"/>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1.应聘人员为建档立卡脱贫享受政策人口和即时帮扶人口的，提交家庭所在地的县（区、市）扶贫办（部门）出具的有关情况说明。</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2.应聘人员为城乡低保对象和特困人员的，提交家庭所在地的县（区、市）民政部门出具的有关情况说明。</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3.上述情形应聘人员为派遣期内毕业生的，也可提交由省人社厅、省教育厅核发的《山东省特困家庭高校毕业生就业服务卡》。</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4.应聘人员为残疾人的，提交《中华人民共和国残疾人证》（包括社保卡搭载的残疾人证）。</w:t>
      </w:r>
    </w:p>
    <w:p>
      <w:pPr>
        <w:spacing w:line="560" w:lineRule="exact"/>
        <w:ind w:firstLine="704" w:firstLineChars="220"/>
        <w:outlineLvl w:val="1"/>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1.按要求将所需要提交的材料（原件）与身份证放在一起，并拍摄成一张电子照片，拍摄应保证照片字迹清晰。</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2.将电子照片命名为“申请免费认定+招聘单位+招聘岗位+姓名”，以附件形式发送至电子邮箱h</w:t>
      </w:r>
      <w:r>
        <w:rPr>
          <w:rFonts w:ascii="仿宋_GB2312" w:eastAsia="仿宋_GB2312"/>
          <w:color w:val="000000" w:themeColor="text1"/>
          <w:sz w:val="32"/>
          <w:szCs w:val="32"/>
          <w14:textFill>
            <w14:solidFill>
              <w14:schemeClr w14:val="tx1"/>
            </w14:solidFill>
          </w14:textFill>
        </w:rPr>
        <w:t>txwjjzzrsk@zb.shandong.cn</w:t>
      </w:r>
      <w:r>
        <w:rPr>
          <w:rFonts w:hint="eastAsia" w:ascii="仿宋_GB2312" w:eastAsia="仿宋_GB2312"/>
          <w:color w:val="000000" w:themeColor="text1"/>
          <w:sz w:val="32"/>
          <w:szCs w:val="32"/>
          <w14:textFill>
            <w14:solidFill>
              <w14:schemeClr w14:val="tx1"/>
            </w14:solidFill>
          </w14:textFill>
        </w:rPr>
        <w:t>，邮件名称须与照片名称相同。发送邮件时间须在报名时间截止前（3月4日16:00前），以邮箱显示的发送时间为准。邮件发送成功后，请拨打0533-</w:t>
      </w:r>
      <w:r>
        <w:rPr>
          <w:rFonts w:ascii="仿宋_GB2312" w:eastAsia="仿宋_GB2312"/>
          <w:color w:val="000000" w:themeColor="text1"/>
          <w:sz w:val="32"/>
          <w:szCs w:val="32"/>
          <w14:textFill>
            <w14:solidFill>
              <w14:schemeClr w14:val="tx1"/>
            </w14:solidFill>
          </w14:textFill>
        </w:rPr>
        <w:t>8216245</w:t>
      </w:r>
      <w:r>
        <w:rPr>
          <w:rFonts w:hint="eastAsia" w:ascii="仿宋_GB2312" w:eastAsia="仿宋_GB2312"/>
          <w:color w:val="000000" w:themeColor="text1"/>
          <w:sz w:val="32"/>
          <w:szCs w:val="32"/>
          <w14:textFill>
            <w14:solidFill>
              <w14:schemeClr w14:val="tx1"/>
            </w14:solidFill>
          </w14:textFill>
        </w:rPr>
        <w:t>确认邮件收到情况。</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3.免笔试考务费认定结果以电子邮件形式反馈本人，未通过认定人员请及时缴费，通过认定人员报名缴费截止后统一进行免缴费处理。</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六、疫情防控相关要求</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（一）属于以下特殊情形的考生，应于考试前主动向桓台县卫生</w:t>
      </w:r>
      <w:r>
        <w:rPr>
          <w:rFonts w:ascii="仿宋_GB2312" w:hAnsi="仿宋_GB2312" w:eastAsia="仿宋_GB2312" w:cs="仿宋_GB2312"/>
          <w:color w:val="000000" w:themeColor="text1"/>
          <w:kern w:val="2"/>
          <w:sz w:val="32"/>
          <w:szCs w:val="32"/>
          <w14:textFill>
            <w14:solidFill>
              <w14:schemeClr w14:val="tx1"/>
            </w14:solidFill>
          </w14:textFill>
        </w:rPr>
        <w:t>健康局</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 w:hAnsi="仿宋" w:eastAsia="仿宋" w:cs="仿宋"/>
          <w:color w:val="000000" w:themeColor="text1"/>
          <w:spacing w:val="15"/>
          <w:sz w:val="31"/>
          <w:szCs w:val="31"/>
          <w:shd w:val="clear" w:color="auto" w:fill="FFFFFF"/>
          <w14:textFill>
            <w14:solidFill>
              <w14:schemeClr w14:val="tx1"/>
            </w14:solidFill>
          </w14:textFill>
        </w:rPr>
        <w:t>联系电话：0533-</w:t>
      </w:r>
      <w:r>
        <w:rPr>
          <w:rFonts w:ascii="仿宋" w:hAnsi="仿宋" w:eastAsia="仿宋" w:cs="仿宋"/>
          <w:color w:val="000000" w:themeColor="text1"/>
          <w:spacing w:val="15"/>
          <w:sz w:val="31"/>
          <w:szCs w:val="31"/>
          <w:shd w:val="clear" w:color="auto" w:fill="FFFFFF"/>
          <w14:textFill>
            <w14:solidFill>
              <w14:schemeClr w14:val="tx1"/>
            </w14:solidFill>
          </w14:textFill>
        </w:rPr>
        <w:t>8216245</w:t>
      </w:r>
      <w:r>
        <w:rPr>
          <w:rFonts w:hint="eastAsia" w:ascii="仿宋_GB2312" w:hAnsi="仿宋_GB2312" w:eastAsia="仿宋_GB2312" w:cs="仿宋_GB2312"/>
          <w:color w:val="000000" w:themeColor="text1"/>
          <w:kern w:val="2"/>
          <w:sz w:val="32"/>
          <w:szCs w:val="32"/>
          <w14:textFill>
            <w14:solidFill>
              <w14:schemeClr w14:val="tx1"/>
            </w14:solidFill>
          </w14:textFill>
        </w:rPr>
        <w:t>）申报，并遵守以下要求：</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1.治愈出院的确诊病例和无症状感染者，应持考前7天内的健康体检报告，体检正常、肺部影像学显示肺部病灶完全吸收，2次间隔24小时核酸检测（其中1次为考前48小时，痰或鼻咽拭子）均为阴性的可参加考试。</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属于以下情形的，不得参加考试：确诊病例、疑似病例、无症状感染者和尚在观察期内的密切接触者、次密切接触者、与感染者活动时空轨迹重叠的人员、“同时空”伴随人员、中高风险地区人员、全域封闭管理地区人员等六类高风险人员；开考前14天内有发热、咳嗽等症状未痊愈且未排除传染病者；14天内有中、高风险地区所在县（市、区）旅居史；21天内有境外旅居史的人员。</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4.开考前14天有发热、咳嗽等症状的，须提供医疗机构出具的诊断证明和考前48小时内的核酸检测阴性证明，并在隔离考场参加考试。</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5.考前14天内从发生本土疫情省份入鲁返鲁参加考试的考生，须提供启程前48小时内核酸检测阴性证明和入鲁后考前48小时内核酸检测阴性证明。</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（二）持非绿码的考生应提前向</w:t>
      </w:r>
      <w:r>
        <w:rPr>
          <w:rFonts w:hint="eastAsia" w:ascii="仿宋" w:hAnsi="仿宋" w:eastAsia="仿宋" w:cs="仿宋"/>
          <w:color w:val="000000" w:themeColor="text1"/>
          <w:spacing w:val="15"/>
          <w:sz w:val="31"/>
          <w:szCs w:val="31"/>
          <w:shd w:val="clear" w:color="auto" w:fill="FFFFFF"/>
          <w14:textFill>
            <w14:solidFill>
              <w14:schemeClr w14:val="tx1"/>
            </w14:solidFill>
          </w14:textFill>
        </w:rPr>
        <w:t>桓台县卫生</w:t>
      </w:r>
      <w:r>
        <w:rPr>
          <w:rFonts w:ascii="仿宋" w:hAnsi="仿宋" w:eastAsia="仿宋" w:cs="仿宋"/>
          <w:color w:val="000000" w:themeColor="text1"/>
          <w:spacing w:val="15"/>
          <w:sz w:val="31"/>
          <w:szCs w:val="31"/>
          <w:shd w:val="clear" w:color="auto" w:fill="FFFFFF"/>
          <w14:textFill>
            <w14:solidFill>
              <w14:schemeClr w14:val="tx1"/>
            </w14:solidFill>
          </w14:textFill>
        </w:rPr>
        <w:t>健康局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申报，告知旅居史、接触史和就诊史，由专家评估后确定考试安排。</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对于现场核验健康码为黄码、红码人员，应持有14天内的2次（间隔24小时以上）核酸检测阴性证明，其中1次为考前48小时内，并在隔离考场考试，考后纳入我市疫情防控体系管理。</w:t>
      </w:r>
    </w:p>
    <w:p>
      <w:pPr>
        <w:pStyle w:val="4"/>
        <w:widowControl/>
        <w:numPr>
          <w:ilvl w:val="0"/>
          <w:numId w:val="2"/>
        </w:numPr>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考生入场前需提供山东省电子健康码、身份证、准考证及48小时内核酸检测阴性证明，提交《考试人员健康筛查信息采集表》和《自我健康监测记录表》。</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考生须于考试前14天起（自3月12日至3月26日期间），采取自查自报的方式进行健康监测，如实填写《考试人员健康筛查信息采集表》和《自我健康监测记录表》（详情均见附件5），进入考场时上报。</w:t>
      </w:r>
    </w:p>
    <w:p>
      <w:pPr>
        <w:pStyle w:val="4"/>
        <w:widowControl/>
        <w:shd w:val="clear" w:color="auto" w:fill="FFFFFF"/>
        <w:spacing w:before="0" w:beforeAutospacing="0" w:after="0" w:afterAutospacing="0" w:line="560" w:lineRule="exact"/>
        <w:ind w:firstLine="645"/>
        <w:jc w:val="both"/>
        <w:rPr>
          <w:rFonts w:ascii="仿宋" w:hAnsi="仿宋" w:eastAsia="仿宋" w:cs="仿宋"/>
          <w:color w:val="000000" w:themeColor="text1"/>
          <w:spacing w:val="15"/>
          <w:sz w:val="31"/>
          <w:szCs w:val="31"/>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（四）进入笔试考点，应当主动出示山东省电子健康通行码（绿码），并按要求接受体温测量。</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符合以下条件，方可进入考场：①体温正常（未超过37.3℃），持有山东省电子健康通行码（绿码）和48小时内核酸检测阴性证明；②发热病人、健康码“黄码”等人员要履行个人防护责任，主动配合健康监测和核酸检测，在未排除感染风险前不得参加考试。</w:t>
      </w:r>
    </w:p>
    <w:p>
      <w:pPr>
        <w:pStyle w:val="4"/>
        <w:widowControl/>
        <w:shd w:val="clear" w:color="auto" w:fill="FFFFFF"/>
        <w:spacing w:before="0" w:beforeAutospacing="0" w:after="0" w:afterAutospacing="0" w:line="560" w:lineRule="exact"/>
        <w:ind w:firstLine="675"/>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（五）请考生注意个人防护，除核验考生身份信息时外，全程</w:t>
      </w:r>
      <w:r>
        <w:rPr>
          <w:rFonts w:hint="eastAsia" w:ascii="仿宋_GB2312" w:hAnsi="仿宋_GB2312" w:eastAsia="仿宋_GB2312" w:cs="仿宋_GB2312"/>
          <w:color w:val="000000" w:themeColor="text1"/>
          <w:sz w:val="32"/>
          <w:szCs w:val="32"/>
          <w14:textFill>
            <w14:solidFill>
              <w14:schemeClr w14:val="tx1"/>
            </w14:solidFill>
          </w14:textFill>
        </w:rPr>
        <w:t>一律佩戴口罩</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参加考试。</w:t>
      </w:r>
    </w:p>
    <w:p>
      <w:pPr>
        <w:pStyle w:val="4"/>
        <w:widowControl/>
        <w:shd w:val="clear" w:color="auto" w:fill="FFFFFF"/>
        <w:spacing w:before="0" w:beforeAutospacing="0" w:after="0" w:afterAutospacing="0" w:line="560" w:lineRule="exact"/>
        <w:ind w:firstLine="645"/>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（六）属于不得参加考试情形的考生，提供相应的佐证材料于3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月28日至4月1日</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致电桓台县</w:t>
      </w:r>
      <w:r>
        <w:rPr>
          <w:rFonts w:ascii="仿宋_GB2312" w:hAnsi="仿宋_GB2312" w:eastAsia="仿宋_GB2312" w:cs="仿宋_GB2312"/>
          <w:color w:val="000000" w:themeColor="text1"/>
          <w:spacing w:val="15"/>
          <w:sz w:val="32"/>
          <w:szCs w:val="32"/>
          <w:shd w:val="clear" w:color="auto" w:fill="FFFFFF"/>
          <w14:textFill>
            <w14:solidFill>
              <w14:schemeClr w14:val="tx1"/>
            </w14:solidFill>
          </w14:textFill>
        </w:rPr>
        <w:t>卫生健康局（</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电话</w:t>
      </w:r>
      <w:r>
        <w:rPr>
          <w:rFonts w:ascii="仿宋_GB2312" w:hAnsi="仿宋_GB2312" w:eastAsia="仿宋_GB2312" w:cs="仿宋_GB2312"/>
          <w:color w:val="000000" w:themeColor="text1"/>
          <w:spacing w:val="15"/>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0533-8216245</w:t>
      </w:r>
      <w:r>
        <w:rPr>
          <w:rFonts w:ascii="仿宋_GB2312" w:hAnsi="仿宋_GB2312" w:eastAsia="仿宋_GB2312" w:cs="仿宋_GB2312"/>
          <w:color w:val="000000" w:themeColor="text1"/>
          <w:spacing w:val="15"/>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办理考试退费手续；经现场工作人员确认不符合入场条件的考生，即刻做好登记，统一办理退费手续。</w:t>
      </w:r>
    </w:p>
    <w:p>
      <w:pPr>
        <w:pStyle w:val="4"/>
        <w:widowControl/>
        <w:shd w:val="clear" w:color="auto" w:fill="FFFFFF"/>
        <w:spacing w:before="0" w:beforeAutospacing="0" w:after="0" w:afterAutospacing="0" w:line="560" w:lineRule="exact"/>
        <w:ind w:firstLine="675"/>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（七）考试过程中，发现身体异常的，立即进入隔离考场考试，考试结束后按照相关防控要求进行管理。</w:t>
      </w:r>
    </w:p>
    <w:p>
      <w:pPr>
        <w:pStyle w:val="4"/>
        <w:widowControl/>
        <w:shd w:val="clear" w:color="auto" w:fill="FFFFFF"/>
        <w:spacing w:before="0" w:beforeAutospacing="0" w:after="0" w:afterAutospacing="0" w:line="560" w:lineRule="exact"/>
        <w:ind w:firstLine="675"/>
        <w:jc w:val="both"/>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spacing w:line="560" w:lineRule="exact"/>
        <w:ind w:firstLine="640" w:firstLineChars="20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七、现场资格审查时需提交的主要材料</w:t>
      </w:r>
    </w:p>
    <w:p>
      <w:pPr>
        <w:autoSpaceDN w:val="0"/>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autoSpaceDN w:val="0"/>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（一）报名表、本人签名的诚信承诺书、笔试准考证各一份，其中报名表、诚信承诺书可在资格审查公告发布后登录报名系统打印。</w:t>
      </w:r>
    </w:p>
    <w:p>
      <w:pPr>
        <w:autoSpaceDN w:val="0"/>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（二）本人身份证原件和复印件各一份。身份证丢失的可提交临时身份证。</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numPr>
          <w:ilvl w:val="0"/>
          <w:numId w:val="3"/>
        </w:numPr>
        <w:autoSpaceDN w:val="0"/>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学历、学位、专业有关证书材料原件及复印件各一份，具体包括：</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1.符合岗位学历、专业要求的学历证书。</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3.国（境）外高校毕业生应聘的，还须提交教育部门出具的国（境）外学历学位认证书和成绩单（附有资质的机构出具的翻译件）等材料。</w:t>
      </w:r>
    </w:p>
    <w:p>
      <w:pPr>
        <w:autoSpaceDN w:val="0"/>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5.按照新旧专业对应关系应聘的人员，属于根据所学方向不同分别划入不同专业情况的，应聘人员还需提交能说明所学具体方向的相关材料，由招聘单位认定是否符合岗位要求。</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招聘岗位要求的其它相关资格证书（专业技术职务资格证书、执业资格证书、职业资格证书等）。对有规培合格要求的岗位，需提交规培合格材料或无需进行规培的说明材料。</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证书丢失的，可提交具有同等效力的公布文件、登记表等材料。</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2021年新考取相关资格证书的，可暂提交已通过考试的成绩单。但最晚必须于2022年7月31日提交相关资格证书原件进行审核，否则，取消其聘用资格。</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（五）应聘有工作经历要求的岗位，还需提交以下工作经历相关材料之一，并以此计算工作时间：</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1.职工养老保险缴费情况；</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2.入伍通知书（或入伍批准书）及退伍证；</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3.公务员登记表或招考录用手续之一；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4.事业单位聘用合同、聘用登记表或招聘录用手续之一。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（六）在职人员（含已签订就业协议人员）应聘的，还需提交有用人权限部门或单位（就业协议单位）出具的同意应聘或解聘材料。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对在职人员出具同意应聘或解聘材料确有困难的，经招聘单位同意，可在考察或体检时提供。</w:t>
      </w:r>
    </w:p>
    <w:p>
      <w:pPr>
        <w:autoSpaceDN w:val="0"/>
        <w:spacing w:line="560" w:lineRule="exact"/>
        <w:ind w:firstLine="704" w:firstLineChars="22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以上为所需提交的主要材料，具体要求以桓台县</w:t>
      </w:r>
      <w:r>
        <w:rPr>
          <w:rFonts w:ascii="仿宋_GB2312" w:eastAsia="仿宋_GB2312"/>
          <w:color w:val="000000" w:themeColor="text1"/>
          <w:sz w:val="32"/>
          <w:szCs w:val="32"/>
          <w14:textFill>
            <w14:solidFill>
              <w14:schemeClr w14:val="tx1"/>
            </w14:solidFill>
          </w14:textFill>
        </w:rPr>
        <w:t>卫生健康局</w:t>
      </w:r>
      <w:r>
        <w:rPr>
          <w:rFonts w:hint="eastAsia" w:ascii="仿宋_GB2312" w:eastAsia="仿宋_GB2312"/>
          <w:color w:val="000000" w:themeColor="text1"/>
          <w:sz w:val="32"/>
          <w:szCs w:val="32"/>
          <w14:textFill>
            <w14:solidFill>
              <w14:schemeClr w14:val="tx1"/>
            </w14:solidFill>
          </w14:textFill>
        </w:rPr>
        <w:t>公开招聘卫生专业技术人员现场资格审查公告为准。</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仿宋_GB2312" w:eastAsia="仿宋_GB2312"/>
        <w:sz w:val="24"/>
        <w:szCs w:val="24"/>
      </w:rPr>
    </w:pPr>
    <w:r>
      <w:rPr>
        <w:rFonts w:hint="eastAsia" w:ascii="仿宋_GB2312" w:eastAsia="仿宋_GB2312"/>
        <w:sz w:val="24"/>
        <w:szCs w:val="24"/>
      </w:rPr>
      <w:fldChar w:fldCharType="begin"/>
    </w:r>
    <w:r>
      <w:rPr>
        <w:rStyle w:val="7"/>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7"/>
        <w:rFonts w:ascii="仿宋_GB2312" w:eastAsia="仿宋_GB2312"/>
        <w:sz w:val="24"/>
        <w:szCs w:val="24"/>
      </w:rPr>
      <w:t>- 9 -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490E8"/>
    <w:multiLevelType w:val="singleLevel"/>
    <w:tmpl w:val="EEF490E8"/>
    <w:lvl w:ilvl="0" w:tentative="0">
      <w:start w:val="3"/>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0033D46"/>
    <w:rsid w:val="004250D2"/>
    <w:rsid w:val="00602E62"/>
    <w:rsid w:val="007504CB"/>
    <w:rsid w:val="00C968AF"/>
    <w:rsid w:val="00CB1DD1"/>
    <w:rsid w:val="00D803B7"/>
    <w:rsid w:val="07637E0B"/>
    <w:rsid w:val="0B1F4591"/>
    <w:rsid w:val="10C009C2"/>
    <w:rsid w:val="12C86F91"/>
    <w:rsid w:val="13E1537E"/>
    <w:rsid w:val="1AA41E20"/>
    <w:rsid w:val="1CFC78DD"/>
    <w:rsid w:val="1DFD71C4"/>
    <w:rsid w:val="1EA8297E"/>
    <w:rsid w:val="1F7B6261"/>
    <w:rsid w:val="22AD59BC"/>
    <w:rsid w:val="23D21132"/>
    <w:rsid w:val="2C6944A4"/>
    <w:rsid w:val="3033211E"/>
    <w:rsid w:val="31530BF4"/>
    <w:rsid w:val="329126F8"/>
    <w:rsid w:val="341533E1"/>
    <w:rsid w:val="34454AE5"/>
    <w:rsid w:val="3CDD1AC9"/>
    <w:rsid w:val="46900347"/>
    <w:rsid w:val="49DD0D30"/>
    <w:rsid w:val="4ABB5A89"/>
    <w:rsid w:val="4E7A5EA1"/>
    <w:rsid w:val="52816D64"/>
    <w:rsid w:val="53940F70"/>
    <w:rsid w:val="540A7BB4"/>
    <w:rsid w:val="5A1843DD"/>
    <w:rsid w:val="5C3502C8"/>
    <w:rsid w:val="5CD11D69"/>
    <w:rsid w:val="5DA47237"/>
    <w:rsid w:val="62B034F2"/>
    <w:rsid w:val="63722488"/>
    <w:rsid w:val="64E10124"/>
    <w:rsid w:val="6C040682"/>
    <w:rsid w:val="6E4F1287"/>
    <w:rsid w:val="6EC664AF"/>
    <w:rsid w:val="740E5C53"/>
    <w:rsid w:val="74CF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727</Words>
  <Characters>4147</Characters>
  <Lines>34</Lines>
  <Paragraphs>9</Paragraphs>
  <TotalTime>9</TotalTime>
  <ScaleCrop>false</ScaleCrop>
  <LinksUpToDate>false</LinksUpToDate>
  <CharactersWithSpaces>4865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郭栋</cp:lastModifiedBy>
  <cp:lastPrinted>2022-02-22T01:05:00Z</cp:lastPrinted>
  <dcterms:modified xsi:type="dcterms:W3CDTF">2022-02-24T03:01:23Z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6CFCBEF80F4E4C27A18BF1989577E5C2</vt:lpwstr>
  </property>
</Properties>
</file>