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附件2：</w:t>
      </w:r>
    </w:p>
    <w:tbl>
      <w:tblPr>
        <w:tblStyle w:val="2"/>
        <w:tblW w:w="1096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734"/>
        <w:gridCol w:w="706"/>
        <w:gridCol w:w="546"/>
        <w:gridCol w:w="2019"/>
        <w:gridCol w:w="4919"/>
        <w:gridCol w:w="1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96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0"/>
                <w:szCs w:val="40"/>
                <w:lang w:bidi="ar"/>
              </w:rPr>
              <w:t>义乌工商职业技术学院2022年度高层次人才引进计划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63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color w:val="auto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32"/>
                <w:szCs w:val="32"/>
                <w:lang w:bidi="ar"/>
              </w:rPr>
              <w:t>一、领军人才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8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专业带头人</w:t>
            </w:r>
          </w:p>
        </w:tc>
        <w:tc>
          <w:tcPr>
            <w:tcW w:w="819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Hans" w:bidi="ar"/>
              </w:rPr>
              <w:t>满足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电商、智能制造、创意设计、经济管理类专业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Hans" w:bidi="ar"/>
              </w:rPr>
              <w:t>条件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eastAsia="zh-Hans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Hans" w:bidi="ar"/>
              </w:rPr>
              <w:t>具有正高专业技术职务且专业学术卓越，或获得国家级荣誉、奖励且成果卓越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。年龄一般不超过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50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周岁。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不限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0963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b/>
                <w:color w:val="auto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32"/>
                <w:szCs w:val="32"/>
                <w:lang w:bidi="ar"/>
              </w:rPr>
              <w:t>二、高技能人才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81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68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高技能人才</w:t>
            </w:r>
          </w:p>
        </w:tc>
        <w:tc>
          <w:tcPr>
            <w:tcW w:w="819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工艺美术、服装工艺、计算机、机械、自动化类相关专业，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省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级及以上首席技师、技能大师工作室领办人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全国技术能手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bidi="ar"/>
              </w:rPr>
              <w:t>。年龄一般不超过45周岁。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Hans" w:bidi="ar"/>
              </w:rPr>
              <w:t>有国家级人才称号或荣誉的，放宽到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lang w:eastAsia="zh-Hans" w:bidi="ar"/>
              </w:rPr>
              <w:t>50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Hans" w:bidi="ar"/>
              </w:rPr>
              <w:t>周岁。特殊情况，一人一议。</w:t>
            </w:r>
          </w:p>
        </w:tc>
        <w:tc>
          <w:tcPr>
            <w:tcW w:w="1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0963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b/>
                <w:color w:val="auto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color w:val="auto"/>
                <w:kern w:val="0"/>
                <w:sz w:val="32"/>
                <w:szCs w:val="32"/>
                <w:lang w:bidi="ar"/>
              </w:rPr>
              <w:t>三、博士人才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109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专业建设急需的，在专业领域造诣较深的博士、博士后，按学术、科研水平分A、B、C三类。A类要求主持省部级科研项目研究，有较强的科研成果和较大的潜力；B类要求参与省部级科研项目研究（排名前3），或第一作者在一级核心期刊发表，或被SSCI、SCI等重要索引收录；C类要求有一定的科研成果和潜力、符合学校专业建设的其他博士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二级学院（部）</w:t>
            </w:r>
          </w:p>
        </w:tc>
        <w:tc>
          <w:tcPr>
            <w:tcW w:w="14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计划数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学历或职称</w:t>
            </w:r>
          </w:p>
        </w:tc>
        <w:tc>
          <w:tcPr>
            <w:tcW w:w="60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专 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auto"/>
                <w:sz w:val="22"/>
                <w:szCs w:val="22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auto"/>
                <w:sz w:val="22"/>
                <w:szCs w:val="22"/>
              </w:rPr>
            </w:pP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color w:val="auto"/>
                <w:sz w:val="22"/>
                <w:szCs w:val="22"/>
              </w:rPr>
            </w:pPr>
          </w:p>
        </w:tc>
        <w:tc>
          <w:tcPr>
            <w:tcW w:w="60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人文旅游学院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专任教师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博士研究生或教授</w:t>
            </w:r>
          </w:p>
        </w:tc>
        <w:tc>
          <w:tcPr>
            <w:tcW w:w="6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经济学、工商管理、中国语言文学、地理学、社会学类相关专业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机电信息学院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专任教师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博士研究生或教授</w:t>
            </w:r>
          </w:p>
        </w:tc>
        <w:tc>
          <w:tcPr>
            <w:tcW w:w="6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计算机科学与技术、软件工程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机械工程、仪器科学与技术、电气工程、电子科学与技术、信息与通信工程、控制科学与工程类相关专业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专任教师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博士研究生或教授</w:t>
            </w:r>
          </w:p>
        </w:tc>
        <w:tc>
          <w:tcPr>
            <w:tcW w:w="6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理论经济学、应用经济学、统计学、管理科学与工程、工商管理、计算机科学与技术、数学、地理学类相关专业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外语外贸学院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专任教师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博士研究生或教授</w:t>
            </w:r>
          </w:p>
        </w:tc>
        <w:tc>
          <w:tcPr>
            <w:tcW w:w="6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理论经济学、应用经济学、工商管理、管理科学与工程类专业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英语、商务英语、翻译等外国语言文学和教育学类相关专业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建筑工程学院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专任教师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博士研究生或教授</w:t>
            </w:r>
          </w:p>
        </w:tc>
        <w:tc>
          <w:tcPr>
            <w:tcW w:w="6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土木工程、建筑学、管理科学与工程类相关专业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创意设计学院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专任教师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博士研究生或教授</w:t>
            </w:r>
          </w:p>
        </w:tc>
        <w:tc>
          <w:tcPr>
            <w:tcW w:w="6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机械工程、艺术学理论、美术学、设计学、材料科学与工程、纺织科学与工程类相关专业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创业学院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专任教师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博士研究生或教授</w:t>
            </w:r>
          </w:p>
        </w:tc>
        <w:tc>
          <w:tcPr>
            <w:tcW w:w="6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应用经济学、计算机科学与技术、管理科学与工程、工商管理、数学类相关专业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专任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博士研究生或教授</w:t>
            </w:r>
          </w:p>
        </w:tc>
        <w:tc>
          <w:tcPr>
            <w:tcW w:w="6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马克思主义理论、政治学类相关专业，马克思主义哲学专业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（政治面貌要求为中共党员含预备党员）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创新研究院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研究人员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博士研究生或教授</w:t>
            </w:r>
          </w:p>
        </w:tc>
        <w:tc>
          <w:tcPr>
            <w:tcW w:w="6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经济学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教育学类相关专业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96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备注：1.博士研究生要求45周岁以下，正高职称可适当放宽。2.在招聘计划总数内，单个岗位的招聘数可根据需要调节。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577BF"/>
    <w:rsid w:val="6235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2022-03-01T07:17:00Z</dcterms:created>
  <dc:creator>admin</dc:creator>
  <cp:lastModifiedBy>admin</cp:lastModifiedBy>
  <dcterms:modified xsi:type="dcterms:W3CDTF">2022-03-01T07:17:16Z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51D0FFC96A8F45CE9483B605AAC37526</vt:lpwstr>
  </property>
</Properties>
</file>