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5" w:lineRule="atLeas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附件1：</w:t>
      </w:r>
    </w:p>
    <w:tbl>
      <w:tblPr>
        <w:tblStyle w:val="3"/>
        <w:tblpPr w:leftFromText="180" w:rightFromText="180" w:vertAnchor="text" w:horzAnchor="page" w:tblpX="1676" w:tblpY="642"/>
        <w:tblOverlap w:val="never"/>
        <w:tblW w:w="135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40"/>
                <w:szCs w:val="40"/>
                <w:lang w:bidi="ar"/>
              </w:rPr>
              <w:t>义乌工商职业技术学院2022年教师公开招聘计划</w:t>
            </w:r>
          </w:p>
        </w:tc>
      </w:tr>
    </w:tbl>
    <w:p>
      <w:pPr>
        <w:spacing w:line="520" w:lineRule="exact"/>
        <w:rPr>
          <w:rFonts w:ascii="仿宋_GB2312" w:eastAsia="仿宋_GB2312" w:cs="仿宋_GB2312"/>
          <w:color w:val="auto"/>
          <w:sz w:val="28"/>
          <w:szCs w:val="28"/>
        </w:rPr>
      </w:pPr>
    </w:p>
    <w:tbl>
      <w:tblPr>
        <w:tblStyle w:val="3"/>
        <w:tblpPr w:leftFromText="180" w:rightFromText="180" w:vertAnchor="text" w:horzAnchor="page" w:tblpX="1676" w:tblpY="642"/>
        <w:tblOverlap w:val="never"/>
        <w:tblW w:w="138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50"/>
        <w:gridCol w:w="866"/>
        <w:gridCol w:w="1484"/>
        <w:gridCol w:w="1033"/>
        <w:gridCol w:w="4183"/>
        <w:gridCol w:w="3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二级学院（部）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其他要求和有关说明（执业资格、专业技术职务、工作经历等）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机电信息学院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电气自动化专任教师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电气工程、电子科学与技术、信息与通信工程、控制科学与工程类相关专业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智能信息专任教师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计算机科学与技术、软件工程类专业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具有大数据技术领域相关经验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专任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工商管理、管理科学与工程、计算机科学与技术、新闻传播学类相关专业，国际贸易学、统计学专业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具有高级技能证书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指导学生职业技能大赛国赛获奖经历者优先。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金融服务与管理专任教师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工商管理、应用经济学、统计学、计算机科学与技术、数学类相关专业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具有金融机构相关从业经验者优先。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工商企业管理专任教师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管理科学与工程、应用经济学类相关专业，企业管理、公共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管理专业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外语外贸学院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国际经济与贸易专任教师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理论经济学、应用经济学、工商管理类专业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具有数字贸易领域、国际商务领域等相关工作经历者优先。</w:t>
            </w:r>
          </w:p>
        </w:tc>
      </w:tr>
      <w:tr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西班牙语专任教师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西班牙语专业，西班牙语系国家语言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现代物流管理专任教师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管理科学与工程类专业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研究领域为物流管理、供应链管理。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创意设计学院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数字媒体艺术设计专任教师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艺术学、新闻传播学、戏剧与影视学类相关专业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要求广播电视艺术、编导、广告、文化创意策划、数字传媒、网络与新媒体相关专业方向。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时尚表演与传播专任教师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音乐与舞蹈学、戏剧与影视学类相关专业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要求舞蹈表演、影视表演、播音与主持相关专业方向；本科毕业于艺术类双一流大学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有国家级获奖经历的可降至本科学历。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创业学院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电子商务专任教师（图形图像方向）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应用经济学、计算机科学与技术、设计学、管理科学与工程、工商管理类相关专业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具有2年以上美工相关行业从业经历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商务数据分析与应用专任教师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应用经济学、计算机科学与技术、管理科学与工程、工商管理、数学类相关专业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1.具有1年以上数据分析或数据化运营从业经历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2.熟练掌握数据分析工具，精通Python、R语言或SPSS者优先。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网络营销与直播电商专任教师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应用经济学、新闻传播学、管理科学与工程、工商管理、计算机科学与技术类相关专业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具有直播电商或网络营销行业或短视频等相关经验者优先。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建筑工程学院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建筑工程技术专业群专任教师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土木工程类相关专业，建筑设计及其理论专业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本科专业为环境设计专业时，硕士需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设计相关专业。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思政专任教师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马克思主义理论类、政治学类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中共党员（含预备党员）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本、硕专业一致。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网信中心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技术人员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硕士研究生/硕士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4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软件工程、计算机科学与技术类相关专业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熟悉数据建模的相关技术，具有BI系统的开发实施、海量数据处理经验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。具有高级工程师职称（软考除外）的可降至本科学历。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2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备注：境外学历专业，按国内相关专业进行认定把握。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tabs>
          <w:tab w:val="left" w:pos="337"/>
        </w:tabs>
        <w:bidi w:val="0"/>
        <w:jc w:val="left"/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B4774"/>
    <w:rsid w:val="17563E2E"/>
    <w:rsid w:val="2D1B7790"/>
    <w:rsid w:val="365B4774"/>
    <w:rsid w:val="617D48EB"/>
    <w:rsid w:val="7E4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2022-03-01T07:22:00Z</dcterms:created>
  <dc:creator>admin</dc:creator>
  <cp:lastModifiedBy>王木木</cp:lastModifiedBy>
  <dcterms:modified xsi:type="dcterms:W3CDTF">2022-03-03T08:17:31Z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D2839A6AA26E4E68BCD28850096F171F</vt:lpwstr>
  </property>
</Properties>
</file>