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rPr>
          <w:rFonts w:hint="eastAsia"/>
        </w:rPr>
        <w:t>附件1</w:t>
      </w:r>
    </w:p>
    <w:p>
      <w:pPr>
        <w:rPr/>
      </w:pPr>
      <w:r>
        <w:rPr>
          <w:rFonts w:hint="eastAsia"/>
        </w:rPr>
        <w:t>2022年浙江省乐清中学面向全国公开招聘优秀教师岗位一览表</w:t>
      </w:r>
    </w:p>
    <w:tbl>
      <w:tblPr>
        <w:tblStyle w:val="3"/>
        <w:tblW w:w="963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0"/>
        <w:gridCol w:w="1040"/>
        <w:gridCol w:w="570"/>
        <w:gridCol w:w="660"/>
        <w:gridCol w:w="570"/>
        <w:gridCol w:w="770"/>
        <w:gridCol w:w="3000"/>
        <w:gridCol w:w="24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pPr>
              <w:rPr/>
            </w:pPr>
            <w:r>
              <w:t>序号</w:t>
            </w:r>
          </w:p>
        </w:tc>
        <w:tc>
          <w:tcPr>
            <w:tcW w:w="104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pPr>
              <w:rPr/>
            </w:pPr>
            <w:r>
              <w:t>岗位</w:t>
            </w:r>
          </w:p>
        </w:tc>
        <w:tc>
          <w:tcPr>
            <w:tcW w:w="57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pPr>
              <w:rPr/>
            </w:pPr>
            <w:r>
              <w:t>计划数</w:t>
            </w:r>
          </w:p>
        </w:tc>
        <w:tc>
          <w:tcPr>
            <w:tcW w:w="66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pPr>
              <w:rPr/>
            </w:pPr>
            <w:r>
              <w:t>年龄</w:t>
            </w:r>
          </w:p>
        </w:tc>
        <w:tc>
          <w:tcPr>
            <w:tcW w:w="57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pPr>
              <w:rPr/>
            </w:pPr>
            <w:r>
              <w:t>学历</w:t>
            </w:r>
          </w:p>
          <w:p>
            <w:pPr>
              <w:rPr/>
            </w:pPr>
            <w:r>
              <w:t>专业</w:t>
            </w:r>
          </w:p>
        </w:tc>
        <w:tc>
          <w:tcPr>
            <w:tcW w:w="77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pPr>
              <w:rPr/>
            </w:pPr>
            <w:r>
              <w:t>教师资格证</w:t>
            </w:r>
          </w:p>
        </w:tc>
        <w:tc>
          <w:tcPr>
            <w:tcW w:w="300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pPr>
              <w:rPr/>
            </w:pPr>
            <w:r>
              <w:t>资格条件</w:t>
            </w:r>
          </w:p>
        </w:tc>
        <w:tc>
          <w:tcPr>
            <w:tcW w:w="95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pPr>
              <w:rPr/>
            </w:pPr>
            <w:r>
              <w:t>其他要求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31" w:hRule="atLeast"/>
        </w:trPr>
        <w:tc>
          <w:tcPr>
            <w:tcW w:w="540"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pPr>
              <w:rPr/>
            </w:pPr>
            <w:r>
              <w:t>1</w:t>
            </w:r>
          </w:p>
        </w:tc>
        <w:tc>
          <w:tcPr>
            <w:tcW w:w="1040" w:type="dxa"/>
            <w:tcBorders>
              <w:top w:val="nil"/>
              <w:left w:val="nil"/>
              <w:bottom w:val="single" w:color="auto" w:sz="4" w:space="0"/>
              <w:right w:val="single" w:color="auto" w:sz="4" w:space="0"/>
            </w:tcBorders>
            <w:shd w:val="clear" w:color="auto" w:fill="auto"/>
            <w:tcMar>
              <w:left w:w="70" w:type="dxa"/>
              <w:right w:w="70" w:type="dxa"/>
            </w:tcMar>
            <w:vAlign w:val="center"/>
          </w:tcPr>
          <w:p>
            <w:pPr>
              <w:rPr/>
            </w:pPr>
            <w:r>
              <w:t>数学</w:t>
            </w:r>
          </w:p>
        </w:tc>
        <w:tc>
          <w:tcPr>
            <w:tcW w:w="570" w:type="dxa"/>
            <w:tcBorders>
              <w:top w:val="nil"/>
              <w:left w:val="nil"/>
              <w:bottom w:val="single" w:color="auto" w:sz="4" w:space="0"/>
              <w:right w:val="single" w:color="auto" w:sz="4" w:space="0"/>
            </w:tcBorders>
            <w:shd w:val="clear" w:color="auto" w:fill="auto"/>
            <w:tcMar>
              <w:left w:w="70" w:type="dxa"/>
              <w:right w:w="70" w:type="dxa"/>
            </w:tcMar>
            <w:vAlign w:val="center"/>
          </w:tcPr>
          <w:p>
            <w:pPr>
              <w:rPr/>
            </w:pPr>
            <w:r>
              <w:t>1</w:t>
            </w:r>
          </w:p>
        </w:tc>
        <w:tc>
          <w:tcPr>
            <w:tcW w:w="660" w:type="dxa"/>
            <w:vMerge w:val="restart"/>
            <w:tcBorders>
              <w:top w:val="nil"/>
              <w:left w:val="nil"/>
              <w:bottom w:val="single" w:color="auto" w:sz="4" w:space="0"/>
              <w:right w:val="single" w:color="auto" w:sz="4" w:space="0"/>
            </w:tcBorders>
            <w:shd w:val="clear" w:color="auto" w:fill="auto"/>
            <w:tcMar>
              <w:left w:w="70" w:type="dxa"/>
              <w:right w:w="70" w:type="dxa"/>
            </w:tcMar>
            <w:vAlign w:val="center"/>
          </w:tcPr>
          <w:p>
            <w:pPr>
              <w:rPr/>
            </w:pPr>
            <w:r>
              <w:t>30周岁以下(1992年1月1日以后出生)，博士放宽至40周岁，有实践经验的竞赛指导师年龄放宽至40周岁。</w:t>
            </w:r>
          </w:p>
        </w:tc>
        <w:tc>
          <w:tcPr>
            <w:tcW w:w="570" w:type="dxa"/>
            <w:vMerge w:val="restart"/>
            <w:tcBorders>
              <w:top w:val="nil"/>
              <w:left w:val="nil"/>
              <w:bottom w:val="single" w:color="auto" w:sz="4" w:space="0"/>
              <w:right w:val="single" w:color="auto" w:sz="4" w:space="0"/>
            </w:tcBorders>
            <w:shd w:val="clear" w:color="auto" w:fill="auto"/>
            <w:tcMar>
              <w:left w:w="70" w:type="dxa"/>
              <w:right w:w="70" w:type="dxa"/>
            </w:tcMar>
            <w:vAlign w:val="center"/>
          </w:tcPr>
          <w:p>
            <w:pPr>
              <w:rPr/>
            </w:pPr>
            <w:r>
              <w:t>全日制本科及以上，专业对口。</w:t>
            </w:r>
          </w:p>
        </w:tc>
        <w:tc>
          <w:tcPr>
            <w:tcW w:w="770" w:type="dxa"/>
            <w:vMerge w:val="restart"/>
            <w:tcBorders>
              <w:top w:val="nil"/>
              <w:left w:val="nil"/>
              <w:bottom w:val="single" w:color="auto" w:sz="4" w:space="0"/>
              <w:right w:val="single" w:color="auto" w:sz="4" w:space="0"/>
            </w:tcBorders>
            <w:shd w:val="clear" w:color="auto" w:fill="auto"/>
            <w:tcMar>
              <w:left w:w="70" w:type="dxa"/>
              <w:right w:w="70" w:type="dxa"/>
            </w:tcMar>
            <w:vAlign w:val="center"/>
          </w:tcPr>
          <w:p>
            <w:pPr>
              <w:rPr/>
            </w:pPr>
            <w:r>
              <w:t>应具有对应的教师资格证， “C9联盟”高校非师范类毕业生须于2024年7月前取得，否则予以解聘，未取得教师资格证前不予转正。</w:t>
            </w:r>
          </w:p>
        </w:tc>
        <w:tc>
          <w:tcPr>
            <w:tcW w:w="3000" w:type="dxa"/>
            <w:tcBorders>
              <w:top w:val="nil"/>
              <w:left w:val="nil"/>
              <w:bottom w:val="single" w:color="auto" w:sz="4" w:space="0"/>
              <w:right w:val="single" w:color="auto" w:sz="4" w:space="0"/>
            </w:tcBorders>
            <w:shd w:val="clear" w:color="auto" w:fill="auto"/>
            <w:tcMar>
              <w:left w:w="70" w:type="dxa"/>
              <w:right w:w="70" w:type="dxa"/>
            </w:tcMar>
            <w:vAlign w:val="center"/>
          </w:tcPr>
          <w:p>
            <w:pPr>
              <w:rPr/>
            </w:pPr>
            <w:r>
              <w:t>浙江户籍或生源，2022年应届毕业生具备下列条件之一：</w:t>
            </w:r>
          </w:p>
          <w:p>
            <w:pPr>
              <w:rPr/>
            </w:pPr>
            <w:r>
              <w:t>（1）持有对应学科的高中教师资格证书、本科阶段须是全日制师范类的硕士研究生及以上毕业生；</w:t>
            </w:r>
          </w:p>
          <w:p>
            <w:pPr>
              <w:rPr/>
            </w:pPr>
            <w:r>
              <w:t>（2）“双一流”建设高校应届师范类本科毕业生；</w:t>
            </w:r>
          </w:p>
          <w:p>
            <w:pPr>
              <w:rPr/>
            </w:pPr>
            <w:r>
              <w:t>（3）六所部属师范院校（北师大、华东师大、华中师大、东北师大、陕西师大、西南大学）国家免费师范生；</w:t>
            </w:r>
          </w:p>
          <w:p>
            <w:pPr>
              <w:rPr/>
            </w:pPr>
            <w:r>
              <w:t>（4）全国高等学校师范生教学技能竞赛三等奖及以上或浙江省高等学校师范生教学技能竞赛二等奖及以上获得者；</w:t>
            </w:r>
          </w:p>
          <w:p>
            <w:pPr>
              <w:rPr/>
            </w:pPr>
            <w:r>
              <w:t>（5）省级优秀师范类大学毕业生；</w:t>
            </w:r>
          </w:p>
          <w:p>
            <w:pPr>
              <w:rPr/>
            </w:pPr>
            <w:r>
              <w:t>（6）浙江师范大学综合素质在专业前20%的师范类本科毕业生。</w:t>
            </w:r>
          </w:p>
        </w:tc>
        <w:tc>
          <w:tcPr>
            <w:tcW w:w="950" w:type="dxa"/>
            <w:tcBorders>
              <w:top w:val="nil"/>
              <w:left w:val="nil"/>
              <w:bottom w:val="single" w:color="auto" w:sz="4" w:space="0"/>
              <w:right w:val="single" w:color="auto" w:sz="4" w:space="0"/>
            </w:tcBorders>
            <w:shd w:val="clear" w:color="auto" w:fill="auto"/>
            <w:tcMar>
              <w:left w:w="70" w:type="dxa"/>
              <w:right w:w="70" w:type="dxa"/>
            </w:tcMar>
            <w:vAlign w:val="center"/>
          </w:tcPr>
          <w:p>
            <w:pPr>
              <w:rPr/>
            </w:pPr>
            <w:r>
              <w:t>应届生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0" w:hRule="atLeast"/>
        </w:trPr>
        <w:tc>
          <w:tcPr>
            <w:tcW w:w="540"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pPr>
              <w:rPr/>
            </w:pPr>
            <w:r>
              <w:t>2</w:t>
            </w:r>
          </w:p>
        </w:tc>
        <w:tc>
          <w:tcPr>
            <w:tcW w:w="1040" w:type="dxa"/>
            <w:tcBorders>
              <w:top w:val="nil"/>
              <w:left w:val="nil"/>
              <w:bottom w:val="single" w:color="auto" w:sz="4" w:space="0"/>
              <w:right w:val="single" w:color="auto" w:sz="4" w:space="0"/>
            </w:tcBorders>
            <w:shd w:val="clear" w:color="auto" w:fill="auto"/>
            <w:tcMar>
              <w:left w:w="70" w:type="dxa"/>
              <w:right w:w="70" w:type="dxa"/>
            </w:tcMar>
            <w:vAlign w:val="center"/>
          </w:tcPr>
          <w:p>
            <w:pPr>
              <w:rPr/>
            </w:pPr>
            <w:r>
              <w:t>数学竞赛</w:t>
            </w:r>
          </w:p>
          <w:p>
            <w:pPr>
              <w:rPr/>
            </w:pPr>
            <w:r>
              <w:t>指导师</w:t>
            </w:r>
          </w:p>
        </w:tc>
        <w:tc>
          <w:tcPr>
            <w:tcW w:w="570" w:type="dxa"/>
            <w:tcBorders>
              <w:top w:val="nil"/>
              <w:left w:val="nil"/>
              <w:bottom w:val="single" w:color="auto" w:sz="4" w:space="0"/>
              <w:right w:val="single" w:color="auto" w:sz="4" w:space="0"/>
            </w:tcBorders>
            <w:shd w:val="clear" w:color="auto" w:fill="auto"/>
            <w:tcMar>
              <w:left w:w="70" w:type="dxa"/>
              <w:right w:w="70" w:type="dxa"/>
            </w:tcMar>
            <w:vAlign w:val="center"/>
          </w:tcPr>
          <w:p>
            <w:pPr>
              <w:rPr/>
            </w:pPr>
            <w:r>
              <w:t>1</w:t>
            </w:r>
          </w:p>
        </w:tc>
        <w:tc>
          <w:tcPr>
            <w:tcW w:w="660" w:type="dxa"/>
            <w:vMerge w:val="continue"/>
            <w:tcBorders>
              <w:top w:val="nil"/>
              <w:left w:val="nil"/>
              <w:bottom w:val="single" w:color="auto" w:sz="4" w:space="0"/>
              <w:right w:val="single" w:color="auto" w:sz="4" w:space="0"/>
            </w:tcBorders>
            <w:shd w:val="clear" w:color="auto" w:fill="auto"/>
            <w:tcMar>
              <w:left w:w="70" w:type="dxa"/>
              <w:right w:w="70" w:type="dxa"/>
            </w:tcMar>
            <w:vAlign w:val="center"/>
          </w:tcPr>
          <w:p>
            <w:pPr>
              <w:rPr>
                <w:rFonts w:hint="eastAsia"/>
              </w:rPr>
            </w:pPr>
          </w:p>
        </w:tc>
        <w:tc>
          <w:tcPr>
            <w:tcW w:w="570" w:type="dxa"/>
            <w:vMerge w:val="continue"/>
            <w:tcBorders>
              <w:top w:val="nil"/>
              <w:left w:val="nil"/>
              <w:bottom w:val="single" w:color="auto" w:sz="4" w:space="0"/>
              <w:right w:val="single" w:color="auto" w:sz="4" w:space="0"/>
            </w:tcBorders>
            <w:shd w:val="clear" w:color="auto" w:fill="auto"/>
            <w:tcMar>
              <w:left w:w="70" w:type="dxa"/>
              <w:right w:w="70" w:type="dxa"/>
            </w:tcMar>
            <w:vAlign w:val="center"/>
          </w:tcPr>
          <w:p>
            <w:pPr>
              <w:rPr>
                <w:rFonts w:hint="eastAsia"/>
              </w:rPr>
            </w:pPr>
          </w:p>
        </w:tc>
        <w:tc>
          <w:tcPr>
            <w:tcW w:w="770" w:type="dxa"/>
            <w:vMerge w:val="continue"/>
            <w:tcBorders>
              <w:top w:val="nil"/>
              <w:left w:val="nil"/>
              <w:bottom w:val="single" w:color="auto" w:sz="4" w:space="0"/>
              <w:right w:val="single" w:color="auto" w:sz="4" w:space="0"/>
            </w:tcBorders>
            <w:shd w:val="clear" w:color="auto" w:fill="auto"/>
            <w:tcMar>
              <w:left w:w="70" w:type="dxa"/>
              <w:right w:w="70" w:type="dxa"/>
            </w:tcMar>
            <w:vAlign w:val="center"/>
          </w:tcPr>
          <w:p>
            <w:pPr>
              <w:rPr>
                <w:rFonts w:hint="eastAsia"/>
              </w:rPr>
            </w:pPr>
          </w:p>
        </w:tc>
        <w:tc>
          <w:tcPr>
            <w:tcW w:w="3000" w:type="dxa"/>
            <w:vMerge w:val="restart"/>
            <w:tcBorders>
              <w:top w:val="nil"/>
              <w:left w:val="nil"/>
              <w:bottom w:val="single" w:color="auto" w:sz="4" w:space="0"/>
              <w:right w:val="single" w:color="auto" w:sz="4" w:space="0"/>
            </w:tcBorders>
            <w:shd w:val="clear" w:color="auto" w:fill="auto"/>
            <w:tcMar>
              <w:left w:w="70" w:type="dxa"/>
              <w:right w:w="70" w:type="dxa"/>
            </w:tcMar>
            <w:vAlign w:val="center"/>
          </w:tcPr>
          <w:p>
            <w:pPr>
              <w:rPr/>
            </w:pPr>
            <w:r>
              <w:t>户籍不限，具备下列条件之一：</w:t>
            </w:r>
          </w:p>
          <w:p>
            <w:pPr>
              <w:rPr/>
            </w:pPr>
            <w:r>
              <w:t>（1）高中学习期间有相应学科竞赛获省一等奖经历且能提供获奖证明；</w:t>
            </w:r>
          </w:p>
          <w:p>
            <w:pPr>
              <w:rPr/>
            </w:pPr>
            <w:r>
              <w:t>（2）大学或研究生学习期间有竞赛方面经历且能提供获奖证明；</w:t>
            </w:r>
          </w:p>
          <w:p>
            <w:pPr>
              <w:rPr/>
            </w:pPr>
            <w:r>
              <w:t>（3）参加工作后作为指导师指导学生参加相应学科的全国联赛获省级一等奖及上经历且能提供指导证明。</w:t>
            </w:r>
          </w:p>
        </w:tc>
        <w:tc>
          <w:tcPr>
            <w:tcW w:w="950" w:type="dxa"/>
            <w:vMerge w:val="restart"/>
            <w:tcBorders>
              <w:top w:val="nil"/>
              <w:left w:val="nil"/>
              <w:bottom w:val="single" w:color="auto" w:sz="4" w:space="0"/>
              <w:right w:val="single" w:color="auto" w:sz="4" w:space="0"/>
            </w:tcBorders>
            <w:shd w:val="clear" w:color="auto" w:fill="auto"/>
            <w:tcMar>
              <w:left w:w="70" w:type="dxa"/>
              <w:right w:w="70" w:type="dxa"/>
            </w:tcMar>
            <w:vAlign w:val="center"/>
          </w:tcPr>
          <w:p>
            <w:pPr>
              <w:rPr/>
            </w:pPr>
            <w:r>
              <w:t>应历届生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trPr>
        <w:tc>
          <w:tcPr>
            <w:tcW w:w="540"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pPr>
              <w:rPr/>
            </w:pPr>
            <w:r>
              <w:t>3</w:t>
            </w:r>
          </w:p>
        </w:tc>
        <w:tc>
          <w:tcPr>
            <w:tcW w:w="1040" w:type="dxa"/>
            <w:tcBorders>
              <w:top w:val="nil"/>
              <w:left w:val="nil"/>
              <w:bottom w:val="single" w:color="auto" w:sz="4" w:space="0"/>
              <w:right w:val="single" w:color="auto" w:sz="4" w:space="0"/>
            </w:tcBorders>
            <w:shd w:val="clear" w:color="auto" w:fill="auto"/>
            <w:tcMar>
              <w:left w:w="70" w:type="dxa"/>
              <w:right w:w="70" w:type="dxa"/>
            </w:tcMar>
            <w:vAlign w:val="center"/>
          </w:tcPr>
          <w:p>
            <w:pPr>
              <w:rPr/>
            </w:pPr>
            <w:r>
              <w:t>物理竞赛</w:t>
            </w:r>
          </w:p>
          <w:p>
            <w:pPr>
              <w:rPr/>
            </w:pPr>
            <w:r>
              <w:t>指导师</w:t>
            </w:r>
          </w:p>
        </w:tc>
        <w:tc>
          <w:tcPr>
            <w:tcW w:w="570" w:type="dxa"/>
            <w:tcBorders>
              <w:top w:val="nil"/>
              <w:left w:val="nil"/>
              <w:bottom w:val="single" w:color="auto" w:sz="4" w:space="0"/>
              <w:right w:val="single" w:color="auto" w:sz="4" w:space="0"/>
            </w:tcBorders>
            <w:shd w:val="clear" w:color="auto" w:fill="auto"/>
            <w:tcMar>
              <w:left w:w="70" w:type="dxa"/>
              <w:right w:w="70" w:type="dxa"/>
            </w:tcMar>
            <w:vAlign w:val="center"/>
          </w:tcPr>
          <w:p>
            <w:pPr>
              <w:rPr/>
            </w:pPr>
            <w:r>
              <w:t>1</w:t>
            </w:r>
          </w:p>
        </w:tc>
        <w:tc>
          <w:tcPr>
            <w:tcW w:w="660" w:type="dxa"/>
            <w:vMerge w:val="continue"/>
            <w:tcBorders>
              <w:top w:val="nil"/>
              <w:left w:val="nil"/>
              <w:bottom w:val="single" w:color="auto" w:sz="4" w:space="0"/>
              <w:right w:val="single" w:color="auto" w:sz="4" w:space="0"/>
            </w:tcBorders>
            <w:shd w:val="clear" w:color="auto" w:fill="auto"/>
            <w:tcMar>
              <w:left w:w="70" w:type="dxa"/>
              <w:right w:w="70" w:type="dxa"/>
            </w:tcMar>
            <w:vAlign w:val="center"/>
          </w:tcPr>
          <w:p>
            <w:pPr>
              <w:rPr>
                <w:rFonts w:hint="eastAsia"/>
              </w:rPr>
            </w:pPr>
          </w:p>
        </w:tc>
        <w:tc>
          <w:tcPr>
            <w:tcW w:w="570" w:type="dxa"/>
            <w:vMerge w:val="continue"/>
            <w:tcBorders>
              <w:top w:val="nil"/>
              <w:left w:val="nil"/>
              <w:bottom w:val="single" w:color="auto" w:sz="4" w:space="0"/>
              <w:right w:val="single" w:color="auto" w:sz="4" w:space="0"/>
            </w:tcBorders>
            <w:shd w:val="clear" w:color="auto" w:fill="auto"/>
            <w:tcMar>
              <w:left w:w="70" w:type="dxa"/>
              <w:right w:w="70" w:type="dxa"/>
            </w:tcMar>
            <w:vAlign w:val="center"/>
          </w:tcPr>
          <w:p>
            <w:pPr>
              <w:rPr>
                <w:rFonts w:hint="eastAsia"/>
              </w:rPr>
            </w:pPr>
          </w:p>
        </w:tc>
        <w:tc>
          <w:tcPr>
            <w:tcW w:w="770" w:type="dxa"/>
            <w:vMerge w:val="continue"/>
            <w:tcBorders>
              <w:top w:val="nil"/>
              <w:left w:val="nil"/>
              <w:bottom w:val="single" w:color="auto" w:sz="4" w:space="0"/>
              <w:right w:val="single" w:color="auto" w:sz="4" w:space="0"/>
            </w:tcBorders>
            <w:shd w:val="clear" w:color="auto" w:fill="auto"/>
            <w:tcMar>
              <w:left w:w="70" w:type="dxa"/>
              <w:right w:w="70" w:type="dxa"/>
            </w:tcMar>
            <w:vAlign w:val="center"/>
          </w:tcPr>
          <w:p>
            <w:pPr>
              <w:rPr>
                <w:rFonts w:hint="eastAsia"/>
              </w:rPr>
            </w:pPr>
          </w:p>
        </w:tc>
        <w:tc>
          <w:tcPr>
            <w:tcW w:w="3000" w:type="dxa"/>
            <w:vMerge w:val="continue"/>
            <w:tcBorders>
              <w:top w:val="nil"/>
              <w:left w:val="nil"/>
              <w:bottom w:val="single" w:color="auto" w:sz="4" w:space="0"/>
              <w:right w:val="single" w:color="auto" w:sz="4" w:space="0"/>
            </w:tcBorders>
            <w:shd w:val="clear" w:color="auto" w:fill="auto"/>
            <w:tcMar>
              <w:left w:w="70" w:type="dxa"/>
              <w:right w:w="70" w:type="dxa"/>
            </w:tcMar>
            <w:vAlign w:val="center"/>
          </w:tcPr>
          <w:p>
            <w:pPr>
              <w:rPr>
                <w:rFonts w:hint="eastAsia"/>
              </w:rPr>
            </w:pPr>
          </w:p>
        </w:tc>
        <w:tc>
          <w:tcPr>
            <w:tcW w:w="950" w:type="dxa"/>
            <w:vMerge w:val="continue"/>
            <w:tcBorders>
              <w:top w:val="nil"/>
              <w:left w:val="nil"/>
              <w:bottom w:val="single" w:color="auto" w:sz="4" w:space="0"/>
              <w:right w:val="single" w:color="auto" w:sz="4" w:space="0"/>
            </w:tcBorders>
            <w:shd w:val="clear" w:color="auto" w:fill="auto"/>
            <w:tcMar>
              <w:left w:w="70" w:type="dxa"/>
              <w:right w:w="70" w:type="dxa"/>
            </w:tcMar>
            <w:vAlign w:val="center"/>
          </w:tcPr>
          <w:p>
            <w:pPr>
              <w:rPr>
                <w:rFonts w:hint="eastAsi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30" w:type="dxa"/>
            <w:gridSpan w:val="8"/>
            <w:tcBorders>
              <w:top w:val="nil"/>
              <w:left w:val="nil"/>
              <w:bottom w:val="nil"/>
              <w:right w:val="nil"/>
            </w:tcBorders>
            <w:shd w:val="clear" w:color="auto" w:fill="auto"/>
            <w:tcMar>
              <w:left w:w="70" w:type="dxa"/>
              <w:right w:w="70" w:type="dxa"/>
            </w:tcMar>
            <w:vAlign w:val="top"/>
          </w:tcPr>
          <w:p>
            <w:pPr>
              <w:rPr>
                <w:rFonts w:hint="eastAsia"/>
              </w:rPr>
            </w:pPr>
          </w:p>
        </w:tc>
      </w:tr>
    </w:tbl>
    <w:p>
      <w:pPr>
        <w:rPr>
          <w:rFonts w:hint="eastAsia"/>
        </w:rPr>
      </w:pPr>
    </w:p>
    <w:p>
      <w:pP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B2FF0"/>
    <w:rsid w:val="634A4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2022-03-23T01:44:00Z</dcterms:created>
  <dc:creator>赵菲儿</dc:creator>
  <cp:lastModifiedBy>蒙的突然</cp:lastModifiedBy>
  <dcterms:modified xsi:type="dcterms:W3CDTF">2022-03-23T01:45:47Z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095C68798698424698C5AAB55E97A28E</vt:lpwstr>
  </property>
</Properties>
</file>