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59" w:rsidRDefault="00B13259" w:rsidP="00B13259">
      <w:pPr>
        <w:spacing w:line="480" w:lineRule="exact"/>
        <w:rPr>
          <w:rFonts w:ascii="仿宋_GB2312" w:eastAsia="仿宋_GB2312" w:hint="eastAsia"/>
          <w:kern w:val="0"/>
          <w:sz w:val="30"/>
          <w:szCs w:val="30"/>
        </w:rPr>
      </w:pPr>
      <w:r>
        <w:rPr>
          <w:rFonts w:ascii="仿宋_GB2312" w:eastAsia="仿宋_GB2312" w:hint="eastAsia"/>
          <w:kern w:val="0"/>
          <w:sz w:val="30"/>
          <w:szCs w:val="30"/>
        </w:rPr>
        <w:t>附件2：</w:t>
      </w:r>
    </w:p>
    <w:p w:rsidR="00B13259" w:rsidRDefault="00B13259" w:rsidP="00B13259">
      <w:pPr>
        <w:widowControl/>
        <w:shd w:val="clear" w:color="auto" w:fill="FFFFFF"/>
        <w:spacing w:line="420" w:lineRule="exact"/>
        <w:jc w:val="center"/>
        <w:rPr>
          <w:rFonts w:ascii="方正小标宋简体" w:eastAsia="方正小标宋简体" w:hAnsi="Verdana" w:cs="宋体" w:hint="eastAsia"/>
          <w:kern w:val="0"/>
          <w:sz w:val="36"/>
          <w:szCs w:val="36"/>
        </w:rPr>
      </w:pPr>
      <w:r>
        <w:rPr>
          <w:rFonts w:ascii="方正小标宋简体" w:eastAsia="方正小标宋简体" w:hint="eastAsia"/>
          <w:sz w:val="36"/>
          <w:szCs w:val="36"/>
        </w:rPr>
        <w:t>慈溪市教育局公开招聘2022年中小学和幼儿园教师</w:t>
      </w:r>
    </w:p>
    <w:p w:rsidR="00B13259" w:rsidRDefault="00B13259" w:rsidP="00B13259">
      <w:pPr>
        <w:widowControl/>
        <w:shd w:val="clear" w:color="auto" w:fill="FFFFFF"/>
        <w:spacing w:line="420" w:lineRule="exact"/>
        <w:jc w:val="center"/>
        <w:rPr>
          <w:rFonts w:ascii="方正小标宋简体" w:eastAsia="方正小标宋简体" w:hAnsi="Verdana" w:cs="宋体" w:hint="eastAsia"/>
          <w:kern w:val="0"/>
          <w:sz w:val="36"/>
          <w:szCs w:val="36"/>
        </w:rPr>
      </w:pPr>
      <w:r>
        <w:rPr>
          <w:rFonts w:ascii="方正小标宋简体" w:eastAsia="方正小标宋简体" w:hAnsi="Verdana" w:cs="宋体" w:hint="eastAsia"/>
          <w:kern w:val="0"/>
          <w:sz w:val="36"/>
          <w:szCs w:val="36"/>
        </w:rPr>
        <w:t>专业要求</w:t>
      </w:r>
    </w:p>
    <w:tbl>
      <w:tblPr>
        <w:tblW w:w="8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84"/>
        <w:gridCol w:w="7696"/>
      </w:tblGrid>
      <w:tr w:rsidR="00B13259" w:rsidTr="001A187F">
        <w:trPr>
          <w:trHeight w:val="479"/>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b/>
                <w:bCs/>
                <w:kern w:val="0"/>
                <w:sz w:val="20"/>
                <w:szCs w:val="20"/>
              </w:rPr>
              <w:t>学科</w:t>
            </w:r>
          </w:p>
        </w:tc>
        <w:tc>
          <w:tcPr>
            <w:tcW w:w="7696"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b/>
                <w:bCs/>
                <w:kern w:val="0"/>
                <w:sz w:val="20"/>
                <w:szCs w:val="20"/>
              </w:rPr>
              <w:t>专业要求</w:t>
            </w:r>
          </w:p>
        </w:tc>
      </w:tr>
      <w:tr w:rsidR="00B13259" w:rsidTr="001A187F">
        <w:trPr>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语文</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hint="eastAsia"/>
                <w:sz w:val="20"/>
                <w:szCs w:val="20"/>
              </w:rPr>
              <w:t>语文、语文教育、汉语言文学、汉语言、汉语言文学教育、对外汉语、中国古代文学、中国现当代文学、语言学与应用语言学、应用语言学、汉语国际教育、汉语言文字学、课程与教学论（语文）、学科教学（语文）、小学教育、初等教育、教育学（初等教育方向）</w:t>
            </w:r>
          </w:p>
        </w:tc>
      </w:tr>
      <w:tr w:rsidR="00B13259" w:rsidTr="001A187F">
        <w:trPr>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数学</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hint="eastAsia"/>
                <w:sz w:val="20"/>
                <w:szCs w:val="20"/>
              </w:rPr>
              <w:t>数学、数学与应用数学、信息与计算科学、数学教育、课程与教学论（数学）、学科教学（数学）、基础数学、计算数学、应用数学、小学教育、初等教育、教育学（初等教育方向）</w:t>
            </w:r>
          </w:p>
        </w:tc>
      </w:tr>
      <w:tr w:rsidR="00B13259" w:rsidTr="001A187F">
        <w:trPr>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英语</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英语、应用英语、翻译（英语）、英语教育、课程与教学论（英语）、学科教学（英语）、外国语言学及应用语言学、英语语言文学、英语笔译、英语口译</w:t>
            </w:r>
            <w:r>
              <w:rPr>
                <w:rFonts w:ascii="宋体" w:hAnsi="宋体" w:hint="eastAsia"/>
                <w:sz w:val="20"/>
                <w:szCs w:val="20"/>
              </w:rPr>
              <w:t>、</w:t>
            </w:r>
            <w:r>
              <w:rPr>
                <w:rFonts w:ascii="宋体" w:hAnsi="宋体" w:cs="宋体" w:hint="eastAsia"/>
                <w:kern w:val="0"/>
                <w:sz w:val="20"/>
                <w:szCs w:val="20"/>
              </w:rPr>
              <w:t>小学教育、</w:t>
            </w:r>
            <w:r>
              <w:rPr>
                <w:rFonts w:ascii="宋体" w:hAnsi="宋体" w:hint="eastAsia"/>
                <w:sz w:val="20"/>
                <w:szCs w:val="20"/>
              </w:rPr>
              <w:t>初等教育</w:t>
            </w:r>
          </w:p>
        </w:tc>
      </w:tr>
      <w:tr w:rsidR="00B13259" w:rsidTr="001A187F">
        <w:trPr>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历史</w:t>
            </w:r>
          </w:p>
        </w:tc>
        <w:tc>
          <w:tcPr>
            <w:tcW w:w="7696" w:type="dxa"/>
            <w:vAlign w:val="center"/>
          </w:tcPr>
          <w:p w:rsidR="00B13259" w:rsidRDefault="00B13259" w:rsidP="001A187F">
            <w:pPr>
              <w:widowControl/>
              <w:spacing w:line="240" w:lineRule="exact"/>
              <w:jc w:val="left"/>
              <w:rPr>
                <w:rFonts w:ascii="宋体" w:hAnsi="宋体" w:cs="宋体" w:hint="eastAsia"/>
                <w:kern w:val="0"/>
                <w:sz w:val="20"/>
                <w:szCs w:val="20"/>
              </w:rPr>
            </w:pPr>
            <w:r>
              <w:rPr>
                <w:rFonts w:ascii="宋体" w:hAnsi="宋体" w:cs="宋体" w:hint="eastAsia"/>
                <w:kern w:val="0"/>
                <w:sz w:val="20"/>
                <w:szCs w:val="20"/>
              </w:rPr>
              <w:t>历史学、人文教育、历史教育、中国古代史、中国近现代史、世界史、课程与教学论（历史）、学科教学（历史）</w:t>
            </w:r>
          </w:p>
        </w:tc>
      </w:tr>
      <w:tr w:rsidR="00B13259" w:rsidTr="001A187F">
        <w:trPr>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地理</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地理科学、人文教育、地理教育、学科教学（地理）、自然地理与资源环境、人文地理学、自然地理学、课程与教学论（地理）</w:t>
            </w:r>
          </w:p>
        </w:tc>
      </w:tr>
      <w:tr w:rsidR="00B13259" w:rsidTr="001A187F">
        <w:trPr>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科学</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物理学、应用物理学、物理教育、物理教学论、学科教学（物理）、理论物理、粒子物理与原子核物理、原子与分子物理、等离子体物理、凝聚态物理、声学、光学、课程与教学论（物理）、现代物理概论、生物科学、生物技术、生物工程、生物教育、课程与教学论（生物）、学科教学（生物）、植物学、动物学、化学、应用化学、课程与教学论(化学)、学科教学（化学）、无机化学、有机化学、分析化学、物理化学、科学教育、地理、地理科学、地理教育、学科教学（地理）、自然地理学、自然地理与资源环境、课程与教学论（地理）、小学教育、</w:t>
            </w:r>
            <w:r>
              <w:rPr>
                <w:rFonts w:ascii="宋体" w:hAnsi="宋体" w:hint="eastAsia"/>
                <w:sz w:val="20"/>
                <w:szCs w:val="20"/>
              </w:rPr>
              <w:t>初等教育</w:t>
            </w:r>
          </w:p>
        </w:tc>
      </w:tr>
      <w:tr w:rsidR="00B13259" w:rsidTr="001A187F">
        <w:trPr>
          <w:trHeight w:val="521"/>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社会</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哲学、逻辑学、科学社会主义、马克思主义理论、政治、思想政治教育、政治学理论、课程与教学论（思想政治）、学科教学（思想政治）、马克思主义哲学、马克思主义中国化研究、政治经济学、中国哲学、地理科学、人文教育、地理教育、学科教学（地理）、人文地理学、课程与教学论（地理）、历史学、历史教育、中国古代史、中国近现代史、世界史、课程与教学论（历史）、学科教学（历史）</w:t>
            </w:r>
          </w:p>
        </w:tc>
      </w:tr>
      <w:tr w:rsidR="00B13259" w:rsidTr="001A187F">
        <w:trPr>
          <w:trHeight w:val="521"/>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音乐</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音乐学、音乐教育、艺术教育、音乐表演、音乐教育学、音乐美学、音乐与舞蹈学、舞蹈学、舞蹈教育、舞蹈编导、表演（中国舞）、表演（芭蕾舞）</w:t>
            </w:r>
          </w:p>
        </w:tc>
      </w:tr>
      <w:tr w:rsidR="00B13259" w:rsidTr="001A187F">
        <w:trPr>
          <w:trHeight w:val="599"/>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体育与健康</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体育教育、社会体育、体育、体育学、运动训练、体育教育训练学、学科教学（体育）、社会体育指导与管理、体育人文社会学、民族传统体育</w:t>
            </w:r>
          </w:p>
        </w:tc>
      </w:tr>
      <w:tr w:rsidR="00B13259" w:rsidTr="001A187F">
        <w:trPr>
          <w:trHeight w:val="456"/>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美术</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美术学、美术教育、艺术教育、绘画、中国画、版画、油画</w:t>
            </w:r>
          </w:p>
        </w:tc>
      </w:tr>
      <w:tr w:rsidR="00B13259" w:rsidTr="001A187F">
        <w:trPr>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计算机</w:t>
            </w:r>
          </w:p>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信息技术</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教育技术学、计算机科学与技术、计算机应用技术、计算机网络技术、计算机信息管理、计算机及应用、网络工程、软件工程、计算机网络工程、计算机软件与理论</w:t>
            </w:r>
          </w:p>
        </w:tc>
      </w:tr>
      <w:tr w:rsidR="00B13259" w:rsidTr="001A187F">
        <w:trPr>
          <w:trHeight w:val="459"/>
          <w:jc w:val="center"/>
        </w:trPr>
        <w:tc>
          <w:tcPr>
            <w:tcW w:w="1184" w:type="dxa"/>
            <w:vAlign w:val="center"/>
          </w:tcPr>
          <w:p w:rsidR="00B13259" w:rsidRDefault="00B13259" w:rsidP="001A187F">
            <w:pPr>
              <w:widowControl/>
              <w:spacing w:line="240" w:lineRule="exact"/>
              <w:jc w:val="center"/>
              <w:rPr>
                <w:rFonts w:ascii="宋体" w:hAnsi="宋体" w:cs="宋体" w:hint="eastAsia"/>
                <w:kern w:val="0"/>
                <w:sz w:val="20"/>
                <w:szCs w:val="20"/>
              </w:rPr>
            </w:pPr>
            <w:r>
              <w:rPr>
                <w:rFonts w:ascii="宋体" w:hAnsi="宋体" w:cs="宋体" w:hint="eastAsia"/>
                <w:kern w:val="0"/>
                <w:sz w:val="20"/>
                <w:szCs w:val="20"/>
              </w:rPr>
              <w:t>幼儿园</w:t>
            </w:r>
          </w:p>
        </w:tc>
        <w:tc>
          <w:tcPr>
            <w:tcW w:w="7696" w:type="dxa"/>
            <w:vAlign w:val="center"/>
          </w:tcPr>
          <w:p w:rsidR="00B13259" w:rsidRDefault="00B13259" w:rsidP="001A187F">
            <w:pPr>
              <w:widowControl/>
              <w:spacing w:line="240" w:lineRule="exact"/>
              <w:rPr>
                <w:rFonts w:ascii="宋体" w:hAnsi="宋体" w:cs="宋体" w:hint="eastAsia"/>
                <w:kern w:val="0"/>
                <w:sz w:val="20"/>
                <w:szCs w:val="20"/>
              </w:rPr>
            </w:pPr>
            <w:r>
              <w:rPr>
                <w:rFonts w:ascii="宋体" w:hAnsi="宋体" w:cs="宋体" w:hint="eastAsia"/>
                <w:kern w:val="0"/>
                <w:sz w:val="20"/>
                <w:szCs w:val="20"/>
              </w:rPr>
              <w:t>学前教育</w:t>
            </w:r>
          </w:p>
        </w:tc>
      </w:tr>
    </w:tbl>
    <w:p w:rsidR="00B13259" w:rsidRDefault="00B13259" w:rsidP="00B13259">
      <w:pPr>
        <w:widowControl/>
        <w:spacing w:line="320" w:lineRule="exact"/>
        <w:ind w:firstLineChars="200" w:firstLine="420"/>
        <w:rPr>
          <w:rFonts w:ascii="宋体" w:hAnsi="宋体" w:hint="eastAsia"/>
          <w:color w:val="000000"/>
          <w:kern w:val="0"/>
          <w:szCs w:val="21"/>
        </w:rPr>
      </w:pPr>
      <w:r>
        <w:rPr>
          <w:rFonts w:ascii="宋体" w:hAnsi="宋体" w:hint="eastAsia"/>
          <w:color w:val="000000"/>
          <w:kern w:val="0"/>
          <w:szCs w:val="21"/>
        </w:rPr>
        <w:t>注：1.岗位均应按已经明确的专业要求报考；未明确的专业原则上不能报考。如确实相似或相近的专业由考生提供学校盖章的学习课程成绩单，会同市人力资源和社会保障局协商确定，研究生可按本科或研究生所学专业进行报考。国（境）外留学人员如专业相近的以所学课程为准。</w:t>
      </w:r>
    </w:p>
    <w:p w:rsidR="00B13259" w:rsidRDefault="00B13259" w:rsidP="00B13259">
      <w:pPr>
        <w:widowControl/>
        <w:shd w:val="clear" w:color="auto" w:fill="FFFFFF"/>
        <w:spacing w:line="320" w:lineRule="exact"/>
        <w:ind w:firstLineChars="200" w:firstLine="420"/>
        <w:jc w:val="left"/>
        <w:rPr>
          <w:rFonts w:ascii="宋体" w:hAnsi="宋体" w:hint="eastAsia"/>
          <w:color w:val="000000"/>
          <w:kern w:val="0"/>
          <w:szCs w:val="21"/>
        </w:rPr>
      </w:pPr>
      <w:r>
        <w:rPr>
          <w:rFonts w:ascii="宋体" w:hAnsi="宋体" w:hint="eastAsia"/>
          <w:color w:val="000000"/>
          <w:kern w:val="0"/>
          <w:szCs w:val="21"/>
        </w:rPr>
        <w:t>2.课程与教学论、学科教学专业按照所学专业方向报考；小学教育、初等教育专业报考人员按照所学专业侧重方向报考，并只能报考小学相关学科。上述专业报考人员需提供学校相关专业侧重方向证明及大学期间学习成绩单。</w:t>
      </w:r>
    </w:p>
    <w:p w:rsidR="00C70E70" w:rsidRDefault="00C70E70" w:rsidP="00B13259">
      <w:bookmarkStart w:id="0" w:name="_GoBack"/>
      <w:bookmarkEnd w:id="0"/>
    </w:p>
    <w:sectPr w:rsidR="00C70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259"/>
    <w:rsid w:val="00B13259"/>
    <w:rsid w:val="00C7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Company>微软中国</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2022-03-28T06:46:00Z</dcterms:created>
  <dcterms:modified xsi:type="dcterms:W3CDTF">2022-03-28T06:46:00Z</dcterms:modified>
</cp:coreProperties>
</file>