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00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6"/>
        <w:gridCol w:w="1069"/>
        <w:gridCol w:w="1664"/>
        <w:gridCol w:w="1426"/>
        <w:gridCol w:w="1160"/>
        <w:gridCol w:w="940"/>
        <w:gridCol w:w="1740"/>
        <w:gridCol w:w="2181"/>
        <w:gridCol w:w="1698"/>
        <w:gridCol w:w="164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40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附件1： 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Times New Roman" w:hAnsi="Times New Roman" w:cs="Times New Roman"/>
                <w:color w:val="auto"/>
                <w:lang w:val="en-US" w:eastAsia="zh-CN" w:bidi="ar"/>
              </w:rPr>
              <w:t xml:space="preserve">                                                                                                                                           .     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lang w:val="en-US" w:eastAsia="zh-CN" w:bidi="ar"/>
              </w:rPr>
              <w:t xml:space="preserve">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1" w:hRule="atLeast"/>
        </w:trPr>
        <w:tc>
          <w:tcPr>
            <w:tcW w:w="14000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龙门县</w:t>
            </w: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退役军人事务局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2022年公开招聘编外人员岗位资格表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 w:hRule="exact"/>
        </w:trPr>
        <w:tc>
          <w:tcPr>
            <w:tcW w:w="4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龙门县退役军人事务局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县人民武装部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机关工作人员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A01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不限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18至35周岁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大专或以上学历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，退役军人放宽至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高中。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不限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1" w:hRule="exact"/>
        </w:trPr>
        <w:tc>
          <w:tcPr>
            <w:tcW w:w="4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龙门县退役军人事务局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县退役军人事务局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机关工作人员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A02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不限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18至35周岁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大专或以上学历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，退役军人放宽至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高中。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不限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/>
    <w:sectPr>
      <w:pgSz w:w="16838" w:h="11906" w:orient="landscape"/>
      <w:pgMar w:top="1803" w:right="2098" w:bottom="1531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AA2474"/>
    <w:rsid w:val="3B2C6422"/>
    <w:rsid w:val="3E5F10D5"/>
    <w:rsid w:val="45AA2474"/>
    <w:rsid w:val="46FF0564"/>
    <w:rsid w:val="4855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paragraph" w:customStyle="1" w:styleId="6">
    <w:name w:val="默认段落字体 Para Char Char Char Char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/>
      <w:szCs w:val="24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龙门县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2022-04-07T07:00:00Z</dcterms:created>
  <dc:creator>刘雪儿</dc:creator>
  <cp:lastModifiedBy>刘雪儿</cp:lastModifiedBy>
  <dcterms:modified xsi:type="dcterms:W3CDTF">2022-04-07T07:00:45Z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19F1044B539B4A5E9DD0C594927E1F41</vt:lpwstr>
  </property>
</Properties>
</file>