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 xml:space="preserve">附: </w:t>
      </w: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晋城市妇幼保健院2022年公开招聘卫生专业技术人员岗位需求表</w:t>
      </w:r>
    </w:p>
    <w:tbl>
      <w:tblPr>
        <w:tblStyle w:val="2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7"/>
        <w:gridCol w:w="708"/>
        <w:gridCol w:w="2552"/>
        <w:gridCol w:w="311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科室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临床营养学医师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营养学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有营养师相关证件优先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乳腺外科医师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外科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乳腺外科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小儿外科医师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外科学、小儿外科学、临床医学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外科学、小儿外科学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妇科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妇科医师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有规培证优先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妇产科学、妇科学、临床医学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有规培证优先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妇女康复保健中心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康复治疗师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康复治疗学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有康复治疗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师</w:t>
            </w:r>
            <w:r>
              <w:rPr>
                <w:rFonts w:hint="eastAsia" w:ascii="仿宋" w:hAnsi="仿宋" w:eastAsia="仿宋"/>
                <w:szCs w:val="21"/>
              </w:rPr>
              <w:t>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针灸推拿师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针灸推拿学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有中医执业医师资格证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产科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产科医师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妇产科学、产科学、临床医学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助产士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助产学、护理学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儿科医学、临床医学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新生儿科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新生儿科医师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儿科医学、临床医学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儿科学、临床医学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麻醉手术科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麻醉医师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麻醉学、疼痛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儿童口腔保健科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口腔医师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口腔正畸、口腔牙周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超声医学科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超声医师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影像医学与核医学（超声方向）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有执业医师资格证，有超声工作经验者优先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医学影像科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诊断医师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医学影像学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放射技师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医学影像技术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诊断医师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影像诊断技术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耳鼻喉科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耳鼻喉医师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儿童保健科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儿童康复治疗师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康复治疗学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中医科医师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有临床工作经验者优先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有临床工作经验者优先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医学检验相关专业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病理科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病理医师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临床医学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有执业医师资格证优先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诊断医师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病理学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心理咨询门诊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心理咨询师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应用心理学（医学院校）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具有国家二级心理咨询师资格证，且有医学背景和工作经验者优先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药剂科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药剂师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药学相关专业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临床药学专业优先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药学相关专业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临床药学专业优先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病案室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病案信息管理技术员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信息管理与信息系统及相关专业（医学方向）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病案编码员证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护理部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护师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护理学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4E27"/>
    <w:rsid w:val="0B904E27"/>
    <w:rsid w:val="2BFA5AB4"/>
    <w:rsid w:val="4633780B"/>
    <w:rsid w:val="47B00BAB"/>
    <w:rsid w:val="4E5D0F3E"/>
    <w:rsid w:val="5AE7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830</Characters>
  <Lines>0</Lines>
  <Paragraphs>0</Paragraphs>
  <TotalTime>22</TotalTime>
  <ScaleCrop>false</ScaleCrop>
  <LinksUpToDate>false</LinksUpToDate>
  <CharactersWithSpaces>832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2022-04-15T06:55:00Z</dcterms:created>
  <dc:creator>活好当下</dc:creator>
  <cp:lastModifiedBy>活好当下</cp:lastModifiedBy>
  <dcterms:modified xsi:type="dcterms:W3CDTF">2022-04-15T09:15:30Z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AFB2076DD3024B3AAD7BDF8156DCA3A7</vt:lpwstr>
  </property>
</Properties>
</file>