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ascii="宋体" w:cs="宋体"/>
          <w:color w:val="auto"/>
          <w:w w:val="85"/>
          <w:kern w:val="0"/>
          <w:sz w:val="32"/>
          <w:szCs w:val="32"/>
        </w:rPr>
      </w:pPr>
      <w:bookmarkStart w:id="0" w:name="_Toc6286_WPSOffice_Level1"/>
      <w:r>
        <w:rPr>
          <w:rFonts w:hint="eastAsia" w:ascii="楷体" w:hAnsi="楷体" w:eastAsia="楷体" w:cs="宋体"/>
          <w:color w:val="auto"/>
          <w:w w:val="85"/>
          <w:kern w:val="0"/>
          <w:sz w:val="32"/>
          <w:szCs w:val="32"/>
        </w:rPr>
        <w:t>附件</w:t>
      </w:r>
      <w:r>
        <w:rPr>
          <w:rFonts w:ascii="楷体" w:hAnsi="楷体" w:eastAsia="楷体" w:cs="宋体"/>
          <w:color w:val="auto"/>
          <w:w w:val="85"/>
          <w:kern w:val="0"/>
          <w:sz w:val="32"/>
          <w:szCs w:val="32"/>
        </w:rPr>
        <w:t>1</w:t>
      </w:r>
      <w:r>
        <w:rPr>
          <w:rFonts w:hint="eastAsia" w:ascii="宋体" w:hAnsi="宋体" w:cs="宋体"/>
          <w:color w:val="auto"/>
          <w:w w:val="85"/>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厦门市</w:t>
      </w:r>
      <w:r>
        <w:rPr>
          <w:rFonts w:hint="eastAsia" w:ascii="宋体" w:hAnsi="宋体" w:cs="宋体"/>
          <w:b/>
          <w:color w:val="auto"/>
          <w:w w:val="85"/>
          <w:kern w:val="0"/>
          <w:sz w:val="44"/>
          <w:szCs w:val="44"/>
          <w:lang w:val="en-US" w:eastAsia="zh-CN"/>
        </w:rPr>
        <w:t>翔</w:t>
      </w:r>
      <w:r>
        <w:rPr>
          <w:rFonts w:hint="eastAsia" w:ascii="宋体" w:hAnsi="宋体" w:cs="宋体"/>
          <w:b/>
          <w:color w:val="auto"/>
          <w:w w:val="85"/>
          <w:kern w:val="0"/>
          <w:sz w:val="44"/>
          <w:szCs w:val="44"/>
        </w:rPr>
        <w:t>安区所属卫生事业单位</w:t>
      </w:r>
      <w:r>
        <w:rPr>
          <w:rFonts w:hint="eastAsia" w:ascii="宋体" w:hAnsi="宋体" w:cs="宋体"/>
          <w:b/>
          <w:color w:val="auto"/>
          <w:w w:val="85"/>
          <w:kern w:val="0"/>
          <w:sz w:val="44"/>
          <w:szCs w:val="44"/>
          <w:lang w:val="en-US" w:eastAsia="zh-CN"/>
        </w:rPr>
        <w:t>招聘</w:t>
      </w:r>
      <w:r>
        <w:rPr>
          <w:rFonts w:hint="eastAsia" w:ascii="宋体" w:hAnsi="宋体" w:cs="宋体"/>
          <w:b/>
          <w:color w:val="auto"/>
          <w:w w:val="85"/>
          <w:kern w:val="0"/>
          <w:sz w:val="44"/>
          <w:szCs w:val="44"/>
        </w:rPr>
        <w:t>编内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工作人员报考</w:t>
      </w:r>
      <w:r>
        <w:rPr>
          <w:rFonts w:hint="eastAsia" w:ascii="宋体" w:hAnsi="宋体" w:cs="宋体"/>
          <w:b/>
          <w:color w:val="auto"/>
          <w:w w:val="85"/>
          <w:kern w:val="0"/>
          <w:sz w:val="44"/>
          <w:szCs w:val="44"/>
          <w:lang w:val="en-US" w:eastAsia="zh-CN"/>
        </w:rPr>
        <w:t>须知</w:t>
      </w:r>
      <w:r>
        <w:rPr>
          <w:rFonts w:hint="eastAsia" w:ascii="宋体" w:hAnsi="宋体" w:cs="宋体"/>
          <w:b/>
          <w:color w:val="auto"/>
          <w:w w:val="85"/>
          <w:kern w:val="0"/>
          <w:sz w:val="44"/>
          <w:szCs w:val="44"/>
        </w:rPr>
        <w:t>（</w:t>
      </w:r>
      <w:r>
        <w:rPr>
          <w:rFonts w:ascii="宋体" w:hAnsi="宋体" w:cs="宋体"/>
          <w:b/>
          <w:color w:val="auto"/>
          <w:w w:val="85"/>
          <w:kern w:val="0"/>
          <w:sz w:val="44"/>
          <w:szCs w:val="44"/>
        </w:rPr>
        <w:t>202</w:t>
      </w:r>
      <w:r>
        <w:rPr>
          <w:rFonts w:hint="eastAsia" w:ascii="宋体" w:hAnsi="宋体" w:cs="宋体"/>
          <w:b/>
          <w:color w:val="auto"/>
          <w:w w:val="85"/>
          <w:kern w:val="0"/>
          <w:sz w:val="44"/>
          <w:szCs w:val="44"/>
          <w:lang w:val="en-US" w:eastAsia="zh-CN"/>
        </w:rPr>
        <w:t>2</w:t>
      </w:r>
      <w:r>
        <w:rPr>
          <w:rFonts w:hint="eastAsia" w:ascii="宋体" w:hAnsi="宋体" w:cs="宋体"/>
          <w:b/>
          <w:color w:val="auto"/>
          <w:w w:val="85"/>
          <w:kern w:val="0"/>
          <w:sz w:val="44"/>
          <w:szCs w:val="44"/>
        </w:rPr>
        <w:t>年</w:t>
      </w:r>
      <w:r>
        <w:rPr>
          <w:rFonts w:hint="eastAsia" w:ascii="宋体" w:hAnsi="宋体" w:cs="宋体"/>
          <w:b/>
          <w:color w:val="auto"/>
          <w:w w:val="85"/>
          <w:kern w:val="0"/>
          <w:sz w:val="44"/>
          <w:szCs w:val="44"/>
          <w:lang w:val="en-US" w:eastAsia="zh-CN"/>
        </w:rPr>
        <w:t>4</w:t>
      </w:r>
      <w:r>
        <w:rPr>
          <w:rFonts w:hint="eastAsia" w:ascii="宋体" w:hAnsi="宋体" w:cs="宋体"/>
          <w:b/>
          <w:color w:val="auto"/>
          <w:w w:val="85"/>
          <w:kern w:val="0"/>
          <w:sz w:val="44"/>
          <w:szCs w:val="44"/>
        </w:rPr>
        <w:t>月）</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宋体" w:cs="宋体"/>
          <w:b/>
          <w:color w:val="auto"/>
          <w:w w:val="85"/>
          <w:kern w:val="0"/>
          <w:sz w:val="44"/>
          <w:szCs w:val="44"/>
        </w:rPr>
      </w:pPr>
      <w:r>
        <w:rPr>
          <w:rFonts w:hint="eastAsia" w:ascii="宋体" w:hAnsi="宋体" w:cs="宋体"/>
          <w:b/>
          <w:color w:val="auto"/>
          <w:w w:val="85"/>
          <w:kern w:val="0"/>
          <w:sz w:val="44"/>
          <w:szCs w:val="44"/>
        </w:rPr>
        <w:t>目</w:t>
      </w:r>
      <w:r>
        <w:rPr>
          <w:rFonts w:ascii="宋体" w:hAnsi="宋体" w:cs="宋体"/>
          <w:b/>
          <w:color w:val="auto"/>
          <w:w w:val="85"/>
          <w:kern w:val="0"/>
          <w:sz w:val="44"/>
          <w:szCs w:val="44"/>
        </w:rPr>
        <w:t xml:space="preserve">  </w:t>
      </w:r>
      <w:r>
        <w:rPr>
          <w:rFonts w:hint="eastAsia" w:ascii="宋体" w:hAnsi="宋体" w:cs="宋体"/>
          <w:b/>
          <w:color w:val="auto"/>
          <w:w w:val="85"/>
          <w:kern w:val="0"/>
          <w:sz w:val="44"/>
          <w:szCs w:val="44"/>
        </w:rPr>
        <w:t>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color w:val="auto"/>
          <w:sz w:val="24"/>
          <w:szCs w:val="24"/>
        </w:rPr>
      </w:pP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rFonts w:ascii="仿宋" w:hAnsi="仿宋" w:eastAsia="仿宋" w:cs="仿宋"/>
          <w:color w:val="auto"/>
          <w:sz w:val="24"/>
          <w:szCs w:val="24"/>
        </w:rPr>
        <w:fldChar w:fldCharType="begin"/>
      </w:r>
      <w:r>
        <w:rPr>
          <w:rFonts w:ascii="仿宋" w:hAnsi="仿宋" w:eastAsia="仿宋" w:cs="仿宋"/>
          <w:color w:val="auto"/>
          <w:sz w:val="24"/>
          <w:szCs w:val="24"/>
        </w:rPr>
        <w:instrText xml:space="preserve">TOC \o "1-3" \h \u </w:instrText>
      </w:r>
      <w:r>
        <w:rPr>
          <w:rFonts w:ascii="仿宋" w:hAnsi="仿宋" w:eastAsia="仿宋" w:cs="仿宋"/>
          <w:color w:val="auto"/>
          <w:sz w:val="24"/>
          <w:szCs w:val="24"/>
        </w:rPr>
        <w:fldChar w:fldCharType="separate"/>
      </w:r>
      <w:r>
        <w:rPr>
          <w:rStyle w:val="12"/>
          <w:rFonts w:hint="eastAsia" w:ascii="黑体" w:hAnsi="黑体" w:eastAsia="黑体"/>
          <w:b w:val="0"/>
          <w:bCs w:val="0"/>
          <w:color w:val="auto"/>
          <w:sz w:val="24"/>
          <w:szCs w:val="24"/>
        </w:rPr>
        <w:fldChar w:fldCharType="begin"/>
      </w:r>
      <w:r>
        <w:rPr>
          <w:rStyle w:val="12"/>
          <w:rFonts w:hint="eastAsia" w:ascii="黑体" w:hAnsi="黑体" w:eastAsia="黑体"/>
          <w:b w:val="0"/>
          <w:bCs w:val="0"/>
          <w:color w:val="auto"/>
          <w:sz w:val="24"/>
          <w:szCs w:val="24"/>
        </w:rPr>
        <w:instrText xml:space="preserve"> HYPERLINK \l "_Toc70495066" </w:instrText>
      </w:r>
      <w:r>
        <w:rPr>
          <w:rStyle w:val="12"/>
          <w:rFonts w:hint="eastAsia" w:ascii="黑体" w:hAnsi="黑体" w:eastAsia="黑体"/>
          <w:b w:val="0"/>
          <w:bCs w:val="0"/>
          <w:color w:val="auto"/>
          <w:sz w:val="24"/>
          <w:szCs w:val="24"/>
        </w:rPr>
        <w:fldChar w:fldCharType="separate"/>
      </w:r>
      <w:r>
        <w:rPr>
          <w:rStyle w:val="12"/>
          <w:rFonts w:hint="eastAsia" w:ascii="黑体" w:hAnsi="黑体" w:eastAsia="黑体"/>
          <w:b w:val="0"/>
          <w:bCs w:val="0"/>
          <w:color w:val="auto"/>
          <w:sz w:val="24"/>
          <w:szCs w:val="24"/>
        </w:rPr>
        <w:t>一、基本条件</w:t>
      </w:r>
      <w:r>
        <w:rPr>
          <w:rStyle w:val="12"/>
          <w:rFonts w:hint="eastAsia" w:ascii="黑体" w:hAnsi="黑体" w:eastAsia="黑体"/>
          <w:b w:val="0"/>
          <w:bCs w:val="0"/>
          <w:color w:val="auto"/>
          <w:sz w:val="24"/>
          <w:szCs w:val="24"/>
        </w:rPr>
        <w:tab/>
      </w:r>
      <w:r>
        <w:rPr>
          <w:rStyle w:val="12"/>
          <w:rFonts w:hint="eastAsia" w:ascii="黑体" w:hAnsi="黑体" w:eastAsia="黑体"/>
          <w:b w:val="0"/>
          <w:bCs w:val="0"/>
          <w:color w:val="auto"/>
          <w:sz w:val="24"/>
          <w:szCs w:val="24"/>
        </w:rPr>
        <w:fldChar w:fldCharType="begin"/>
      </w:r>
      <w:r>
        <w:rPr>
          <w:rStyle w:val="12"/>
          <w:rFonts w:hint="eastAsia" w:ascii="黑体" w:hAnsi="黑体" w:eastAsia="黑体"/>
          <w:b w:val="0"/>
          <w:bCs w:val="0"/>
          <w:color w:val="auto"/>
          <w:sz w:val="24"/>
          <w:szCs w:val="24"/>
        </w:rPr>
        <w:instrText xml:space="preserve"> PAGEREF _Toc70495066 \h </w:instrText>
      </w:r>
      <w:r>
        <w:rPr>
          <w:rStyle w:val="12"/>
          <w:rFonts w:hint="eastAsia" w:ascii="黑体" w:hAnsi="黑体" w:eastAsia="黑体"/>
          <w:b w:val="0"/>
          <w:bCs w:val="0"/>
          <w:color w:val="auto"/>
          <w:sz w:val="24"/>
          <w:szCs w:val="24"/>
        </w:rPr>
        <w:fldChar w:fldCharType="separate"/>
      </w:r>
      <w:r>
        <w:rPr>
          <w:rStyle w:val="12"/>
          <w:rFonts w:hint="eastAsia" w:ascii="黑体" w:hAnsi="黑体" w:eastAsia="黑体"/>
          <w:b w:val="0"/>
          <w:bCs w:val="0"/>
          <w:color w:val="auto"/>
          <w:sz w:val="24"/>
          <w:szCs w:val="24"/>
        </w:rPr>
        <w:t>1</w:t>
      </w:r>
      <w:r>
        <w:rPr>
          <w:rStyle w:val="12"/>
          <w:rFonts w:hint="eastAsia" w:ascii="黑体" w:hAnsi="黑体" w:eastAsia="黑体"/>
          <w:b w:val="0"/>
          <w:bCs w:val="0"/>
          <w:color w:val="auto"/>
          <w:sz w:val="24"/>
          <w:szCs w:val="24"/>
        </w:rPr>
        <w:fldChar w:fldCharType="end"/>
      </w:r>
      <w:r>
        <w:rPr>
          <w:rStyle w:val="12"/>
          <w:rFonts w:hint="eastAsia" w:ascii="黑体" w:hAnsi="黑体" w:eastAsia="黑体"/>
          <w:b w:val="0"/>
          <w:bCs w:val="0"/>
          <w:color w:val="auto"/>
          <w:sz w:val="24"/>
          <w:szCs w:val="24"/>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"_Toc70495067" </w:instrText>
      </w:r>
      <w:r>
        <w:rPr>
          <w:color w:val="auto"/>
        </w:rPr>
        <w:fldChar w:fldCharType="separate"/>
      </w:r>
      <w:r>
        <w:rPr>
          <w:rStyle w:val="12"/>
          <w:rFonts w:hint="eastAsia" w:ascii="黑体" w:hAnsi="黑体" w:eastAsia="黑体"/>
          <w:b w:val="0"/>
          <w:bCs w:val="0"/>
          <w:color w:val="auto"/>
          <w:sz w:val="24"/>
          <w:szCs w:val="24"/>
        </w:rPr>
        <w:t>二、不得报考或取消报考（聘用）资格的情形</w:t>
      </w:r>
      <w:r>
        <w:rPr>
          <w:color w:val="auto"/>
        </w:rPr>
        <w:tab/>
      </w:r>
      <w:r>
        <w:rPr>
          <w:color w:val="auto"/>
        </w:rPr>
        <w:fldChar w:fldCharType="begin"/>
      </w:r>
      <w:r>
        <w:rPr>
          <w:color w:val="auto"/>
        </w:rPr>
        <w:instrText xml:space="preserve"> PAGEREF _Toc70495067 \h </w:instrText>
      </w:r>
      <w:r>
        <w:rPr>
          <w:color w:val="auto"/>
        </w:rPr>
        <w:fldChar w:fldCharType="separate"/>
      </w:r>
      <w:r>
        <w:rPr>
          <w:color w:val="auto"/>
        </w:rPr>
        <w:t>1</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"_Toc70495068" </w:instrText>
      </w:r>
      <w:r>
        <w:rPr>
          <w:color w:val="auto"/>
        </w:rPr>
        <w:fldChar w:fldCharType="separate"/>
      </w:r>
      <w:r>
        <w:rPr>
          <w:rStyle w:val="12"/>
          <w:rFonts w:hint="eastAsia" w:ascii="黑体" w:hAnsi="黑体" w:eastAsia="黑体"/>
          <w:b w:val="0"/>
          <w:bCs w:val="0"/>
          <w:color w:val="auto"/>
          <w:sz w:val="24"/>
          <w:szCs w:val="24"/>
        </w:rPr>
        <w:t>三、选报岗位须知</w:t>
      </w:r>
      <w:r>
        <w:rPr>
          <w:color w:val="auto"/>
        </w:rPr>
        <w:tab/>
      </w:r>
      <w:r>
        <w:rPr>
          <w:color w:val="auto"/>
        </w:rPr>
        <w:fldChar w:fldCharType="begin"/>
      </w:r>
      <w:r>
        <w:rPr>
          <w:color w:val="auto"/>
        </w:rPr>
        <w:instrText xml:space="preserve"> PAGEREF _Toc70495068 \h </w:instrText>
      </w:r>
      <w:r>
        <w:rPr>
          <w:color w:val="auto"/>
        </w:rPr>
        <w:fldChar w:fldCharType="separate"/>
      </w:r>
      <w:r>
        <w:rPr>
          <w:color w:val="auto"/>
        </w:rPr>
        <w:t>2</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"_Toc70495069" </w:instrText>
      </w:r>
      <w:r>
        <w:rPr>
          <w:color w:val="auto"/>
        </w:rPr>
        <w:fldChar w:fldCharType="separate"/>
      </w:r>
      <w:r>
        <w:rPr>
          <w:rStyle w:val="12"/>
          <w:rFonts w:hint="eastAsia" w:ascii="楷体" w:hAnsi="楷体" w:eastAsia="楷体"/>
          <w:color w:val="auto"/>
          <w:sz w:val="24"/>
          <w:szCs w:val="24"/>
        </w:rPr>
        <w:t>（一）报考资格条件确认</w:t>
      </w:r>
      <w:r>
        <w:rPr>
          <w:color w:val="auto"/>
        </w:rPr>
        <w:tab/>
      </w:r>
      <w:r>
        <w:rPr>
          <w:color w:val="auto"/>
        </w:rPr>
        <w:fldChar w:fldCharType="begin"/>
      </w:r>
      <w:r>
        <w:rPr>
          <w:color w:val="auto"/>
        </w:rPr>
        <w:instrText xml:space="preserve"> PAGEREF _Toc70495069 \h </w:instrText>
      </w:r>
      <w:r>
        <w:rPr>
          <w:color w:val="auto"/>
        </w:rPr>
        <w:fldChar w:fldCharType="separate"/>
      </w:r>
      <w:r>
        <w:rPr>
          <w:color w:val="auto"/>
        </w:rPr>
        <w:t>2</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"_Toc70495070" </w:instrText>
      </w:r>
      <w:r>
        <w:rPr>
          <w:color w:val="auto"/>
        </w:rPr>
        <w:fldChar w:fldCharType="separate"/>
      </w:r>
      <w:r>
        <w:rPr>
          <w:rStyle w:val="12"/>
          <w:rFonts w:hint="eastAsia" w:ascii="楷体" w:hAnsi="楷体" w:eastAsia="楷体"/>
          <w:color w:val="auto"/>
          <w:sz w:val="24"/>
          <w:szCs w:val="24"/>
        </w:rPr>
        <w:t>（二）照片要求</w:t>
      </w:r>
      <w:r>
        <w:rPr>
          <w:color w:val="auto"/>
        </w:rPr>
        <w:tab/>
      </w:r>
      <w:r>
        <w:rPr>
          <w:color w:val="auto"/>
        </w:rPr>
        <w:fldChar w:fldCharType="begin"/>
      </w:r>
      <w:r>
        <w:rPr>
          <w:color w:val="auto"/>
        </w:rPr>
        <w:instrText xml:space="preserve"> PAGEREF _Toc70495070 \h </w:instrText>
      </w:r>
      <w:r>
        <w:rPr>
          <w:color w:val="auto"/>
        </w:rPr>
        <w:fldChar w:fldCharType="separate"/>
      </w:r>
      <w:r>
        <w:rPr>
          <w:color w:val="auto"/>
        </w:rPr>
        <w:t>3</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"_Toc70495071" </w:instrText>
      </w:r>
      <w:r>
        <w:rPr>
          <w:color w:val="auto"/>
        </w:rPr>
        <w:fldChar w:fldCharType="separate"/>
      </w:r>
      <w:r>
        <w:rPr>
          <w:rStyle w:val="12"/>
          <w:rFonts w:hint="eastAsia" w:ascii="楷体" w:hAnsi="楷体" w:eastAsia="楷体"/>
          <w:color w:val="auto"/>
          <w:sz w:val="24"/>
          <w:szCs w:val="24"/>
        </w:rPr>
        <w:t>（三）个人简历</w:t>
      </w:r>
      <w:r>
        <w:rPr>
          <w:color w:val="auto"/>
        </w:rPr>
        <w:tab/>
      </w:r>
      <w:r>
        <w:rPr>
          <w:color w:val="auto"/>
        </w:rPr>
        <w:fldChar w:fldCharType="begin"/>
      </w:r>
      <w:r>
        <w:rPr>
          <w:color w:val="auto"/>
        </w:rPr>
        <w:instrText xml:space="preserve"> PAGEREF _Toc70495071 \h </w:instrText>
      </w:r>
      <w:r>
        <w:rPr>
          <w:color w:val="auto"/>
        </w:rPr>
        <w:fldChar w:fldCharType="separate"/>
      </w:r>
      <w:r>
        <w:rPr>
          <w:color w:val="auto"/>
        </w:rPr>
        <w:t>3</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"_Toc70495072" </w:instrText>
      </w:r>
      <w:r>
        <w:rPr>
          <w:color w:val="auto"/>
        </w:rPr>
        <w:fldChar w:fldCharType="separate"/>
      </w:r>
      <w:r>
        <w:rPr>
          <w:rStyle w:val="12"/>
          <w:rFonts w:hint="eastAsia" w:ascii="楷体" w:hAnsi="楷体" w:eastAsia="楷体"/>
          <w:color w:val="auto"/>
          <w:sz w:val="24"/>
          <w:szCs w:val="24"/>
        </w:rPr>
        <w:t>（四）回避情形</w:t>
      </w:r>
      <w:r>
        <w:rPr>
          <w:color w:val="auto"/>
        </w:rPr>
        <w:tab/>
      </w:r>
      <w:r>
        <w:rPr>
          <w:color w:val="auto"/>
        </w:rPr>
        <w:fldChar w:fldCharType="begin"/>
      </w:r>
      <w:r>
        <w:rPr>
          <w:color w:val="auto"/>
        </w:rPr>
        <w:instrText xml:space="preserve"> PAGEREF _Toc70495072 \h </w:instrText>
      </w:r>
      <w:r>
        <w:rPr>
          <w:color w:val="auto"/>
        </w:rPr>
        <w:fldChar w:fldCharType="separate"/>
      </w:r>
      <w:r>
        <w:rPr>
          <w:color w:val="auto"/>
        </w:rPr>
        <w:t>4</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"_Toc70495073" </w:instrText>
      </w:r>
      <w:r>
        <w:rPr>
          <w:color w:val="auto"/>
        </w:rPr>
        <w:fldChar w:fldCharType="separate"/>
      </w:r>
      <w:r>
        <w:rPr>
          <w:rStyle w:val="12"/>
          <w:rFonts w:hint="eastAsia" w:ascii="黑体" w:hAnsi="黑体" w:eastAsia="黑体"/>
          <w:b w:val="0"/>
          <w:bCs w:val="0"/>
          <w:color w:val="auto"/>
          <w:sz w:val="24"/>
          <w:szCs w:val="24"/>
        </w:rPr>
        <w:t>四、年龄、资格（历）等的计算办法</w:t>
      </w:r>
      <w:r>
        <w:rPr>
          <w:color w:val="auto"/>
        </w:rPr>
        <w:tab/>
      </w:r>
      <w:r>
        <w:rPr>
          <w:color w:val="auto"/>
        </w:rPr>
        <w:fldChar w:fldCharType="begin"/>
      </w:r>
      <w:r>
        <w:rPr>
          <w:color w:val="auto"/>
        </w:rPr>
        <w:instrText xml:space="preserve"> PAGEREF _Toc70495073 \h </w:instrText>
      </w:r>
      <w:r>
        <w:rPr>
          <w:color w:val="auto"/>
        </w:rPr>
        <w:fldChar w:fldCharType="separate"/>
      </w:r>
      <w:r>
        <w:rPr>
          <w:color w:val="auto"/>
        </w:rPr>
        <w:t>5</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Style w:val="12"/>
          <w:rFonts w:hint="eastAsia" w:ascii="楷体" w:hAnsi="楷体" w:eastAsia="楷体"/>
          <w:color w:val="auto"/>
          <w:sz w:val="21"/>
          <w:szCs w:val="21"/>
        </w:rPr>
      </w:pPr>
      <w:r>
        <w:rPr>
          <w:rStyle w:val="12"/>
          <w:rFonts w:hint="eastAsia" w:ascii="楷体" w:hAnsi="楷体" w:eastAsia="楷体"/>
          <w:color w:val="auto"/>
          <w:sz w:val="21"/>
          <w:szCs w:val="21"/>
        </w:rPr>
        <w:fldChar w:fldCharType="begin"/>
      </w:r>
      <w:r>
        <w:rPr>
          <w:rStyle w:val="12"/>
          <w:rFonts w:hint="eastAsia" w:ascii="楷体" w:hAnsi="楷体" w:eastAsia="楷体"/>
          <w:color w:val="auto"/>
          <w:sz w:val="21"/>
          <w:szCs w:val="21"/>
        </w:rPr>
        <w:instrText xml:space="preserve"> HYPERLINK \l _Toc22003 </w:instrText>
      </w:r>
      <w:r>
        <w:rPr>
          <w:rStyle w:val="12"/>
          <w:rFonts w:hint="eastAsia" w:ascii="楷体" w:hAnsi="楷体" w:eastAsia="楷体"/>
          <w:color w:val="auto"/>
          <w:sz w:val="21"/>
          <w:szCs w:val="21"/>
        </w:rPr>
        <w:fldChar w:fldCharType="separate"/>
      </w:r>
      <w:r>
        <w:rPr>
          <w:rStyle w:val="12"/>
          <w:rFonts w:hint="eastAsia" w:ascii="楷体" w:hAnsi="楷体" w:eastAsia="楷体"/>
          <w:color w:val="auto"/>
          <w:sz w:val="24"/>
          <w:szCs w:val="24"/>
        </w:rPr>
        <w:t>（一）年龄</w:t>
      </w:r>
      <w:r>
        <w:rPr>
          <w:rStyle w:val="12"/>
          <w:rFonts w:hint="eastAsia" w:ascii="楷体" w:hAnsi="楷体" w:eastAsia="楷体"/>
          <w:color w:val="auto"/>
          <w:sz w:val="21"/>
          <w:szCs w:val="21"/>
        </w:rPr>
        <w:tab/>
      </w:r>
      <w:r>
        <w:rPr>
          <w:rStyle w:val="12"/>
          <w:rFonts w:hint="eastAsia" w:hAnsi="楷体" w:eastAsia="楷体" w:asciiTheme="minorAscii"/>
          <w:color w:val="auto"/>
          <w:sz w:val="21"/>
          <w:szCs w:val="21"/>
          <w:lang w:val="en-US" w:eastAsia="zh-CN"/>
        </w:rPr>
        <w:t>5</w:t>
      </w:r>
      <w:r>
        <w:rPr>
          <w:rStyle w:val="12"/>
          <w:rFonts w:hint="eastAsia" w:ascii="楷体" w:hAnsi="楷体" w:eastAsia="楷体"/>
          <w:color w:val="auto"/>
          <w:sz w:val="21"/>
          <w:szCs w:val="21"/>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sz w:val="24"/>
          <w:szCs w:val="24"/>
          <w:highlight w:val="none"/>
        </w:rPr>
      </w:pPr>
      <w:r>
        <w:rPr>
          <w:rStyle w:val="12"/>
          <w:rFonts w:hint="eastAsia" w:ascii="楷体" w:hAnsi="楷体" w:eastAsia="楷体"/>
          <w:color w:val="auto"/>
          <w:sz w:val="21"/>
          <w:szCs w:val="21"/>
        </w:rPr>
        <w:fldChar w:fldCharType="begin"/>
      </w:r>
      <w:r>
        <w:rPr>
          <w:rStyle w:val="12"/>
          <w:rFonts w:hint="eastAsia" w:ascii="楷体" w:hAnsi="楷体" w:eastAsia="楷体"/>
          <w:color w:val="auto"/>
          <w:sz w:val="21"/>
          <w:szCs w:val="21"/>
        </w:rPr>
        <w:instrText xml:space="preserve"> HYPERLINK \l _Toc28438 </w:instrText>
      </w:r>
      <w:r>
        <w:rPr>
          <w:rStyle w:val="12"/>
          <w:rFonts w:hint="eastAsia" w:ascii="楷体" w:hAnsi="楷体" w:eastAsia="楷体"/>
          <w:color w:val="auto"/>
          <w:sz w:val="21"/>
          <w:szCs w:val="21"/>
        </w:rPr>
        <w:fldChar w:fldCharType="separate"/>
      </w:r>
      <w:r>
        <w:rPr>
          <w:rStyle w:val="12"/>
          <w:rFonts w:hint="eastAsia" w:ascii="楷体" w:hAnsi="楷体" w:eastAsia="楷体"/>
          <w:color w:val="auto"/>
          <w:sz w:val="24"/>
          <w:szCs w:val="24"/>
        </w:rPr>
        <w:t>（二）资格（历）</w:t>
      </w:r>
      <w:r>
        <w:rPr>
          <w:rStyle w:val="12"/>
          <w:rFonts w:hint="eastAsia" w:ascii="楷体" w:hAnsi="楷体" w:eastAsia="楷体"/>
          <w:color w:val="auto"/>
          <w:sz w:val="24"/>
          <w:szCs w:val="24"/>
          <w:lang w:eastAsia="zh-CN"/>
        </w:rPr>
        <w:t>等</w:t>
      </w:r>
      <w:r>
        <w:rPr>
          <w:rStyle w:val="12"/>
          <w:rFonts w:hint="eastAsia" w:ascii="楷体" w:hAnsi="楷体" w:eastAsia="楷体"/>
          <w:color w:val="auto"/>
          <w:sz w:val="21"/>
          <w:szCs w:val="21"/>
        </w:rPr>
        <w:tab/>
      </w:r>
      <w:r>
        <w:rPr>
          <w:rStyle w:val="12"/>
          <w:rFonts w:hint="eastAsia" w:hAnsi="楷体" w:eastAsia="楷体" w:asciiTheme="minorAscii"/>
          <w:color w:val="auto"/>
          <w:sz w:val="21"/>
          <w:szCs w:val="21"/>
          <w:lang w:val="en-US" w:eastAsia="zh-CN"/>
        </w:rPr>
        <w:t>5</w:t>
      </w:r>
      <w:r>
        <w:rPr>
          <w:rStyle w:val="12"/>
          <w:rFonts w:hint="eastAsia" w:ascii="楷体" w:hAnsi="楷体" w:eastAsia="楷体"/>
          <w:color w:val="auto"/>
          <w:sz w:val="21"/>
          <w:szCs w:val="21"/>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"_Toc70495074" </w:instrText>
      </w:r>
      <w:r>
        <w:rPr>
          <w:color w:val="auto"/>
        </w:rPr>
        <w:fldChar w:fldCharType="separate"/>
      </w:r>
      <w:r>
        <w:rPr>
          <w:rStyle w:val="12"/>
          <w:rFonts w:hint="eastAsia" w:ascii="黑体" w:hAnsi="黑体" w:eastAsia="黑体"/>
          <w:b w:val="0"/>
          <w:bCs w:val="0"/>
          <w:color w:val="auto"/>
          <w:sz w:val="24"/>
          <w:szCs w:val="24"/>
        </w:rPr>
        <w:t>五、学历（位）认定</w:t>
      </w:r>
      <w:r>
        <w:rPr>
          <w:color w:val="auto"/>
        </w:rPr>
        <w:tab/>
      </w:r>
      <w:r>
        <w:rPr>
          <w:rFonts w:hint="eastAsia"/>
          <w:color w:val="auto"/>
          <w:lang w:val="en-US" w:eastAsia="zh-CN"/>
        </w:rPr>
        <w:t>5</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"_Toc70495076" </w:instrText>
      </w:r>
      <w:r>
        <w:rPr>
          <w:color w:val="auto"/>
        </w:rPr>
        <w:fldChar w:fldCharType="separate"/>
      </w:r>
      <w:r>
        <w:rPr>
          <w:rStyle w:val="12"/>
          <w:rFonts w:hint="eastAsia" w:ascii="楷体" w:hAnsi="楷体" w:eastAsia="楷体"/>
          <w:color w:val="auto"/>
          <w:sz w:val="24"/>
          <w:szCs w:val="24"/>
        </w:rPr>
        <w:t>（一）</w:t>
      </w:r>
      <w:r>
        <w:rPr>
          <w:rStyle w:val="12"/>
          <w:rFonts w:hint="eastAsia" w:ascii="楷体" w:hAnsi="楷体" w:eastAsia="楷体"/>
          <w:color w:val="auto"/>
          <w:sz w:val="24"/>
          <w:szCs w:val="24"/>
          <w:lang w:eastAsia="zh-CN"/>
        </w:rPr>
        <w:t>境内学历（位）</w:t>
      </w:r>
      <w:r>
        <w:rPr>
          <w:color w:val="auto"/>
        </w:rPr>
        <w:tab/>
      </w:r>
      <w:r>
        <w:rPr>
          <w:rFonts w:hint="eastAsia"/>
          <w:color w:val="auto"/>
          <w:lang w:val="en-US" w:eastAsia="zh-CN"/>
        </w:rPr>
        <w:t>5</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"_Toc70495077" </w:instrText>
      </w:r>
      <w:r>
        <w:rPr>
          <w:color w:val="auto"/>
        </w:rPr>
        <w:fldChar w:fldCharType="separate"/>
      </w:r>
      <w:r>
        <w:rPr>
          <w:rStyle w:val="12"/>
          <w:rFonts w:hint="eastAsia" w:ascii="楷体" w:hAnsi="楷体" w:eastAsia="楷体"/>
          <w:color w:val="auto"/>
          <w:sz w:val="24"/>
          <w:szCs w:val="24"/>
        </w:rPr>
        <w:t>（二）</w:t>
      </w:r>
      <w:r>
        <w:rPr>
          <w:rStyle w:val="12"/>
          <w:rFonts w:hint="eastAsia" w:ascii="楷体" w:hAnsi="楷体" w:eastAsia="楷体"/>
          <w:color w:val="auto"/>
          <w:sz w:val="24"/>
          <w:szCs w:val="24"/>
          <w:lang w:eastAsia="zh-CN"/>
        </w:rPr>
        <w:t>国（境）外学历（位）</w:t>
      </w:r>
      <w:r>
        <w:rPr>
          <w:color w:val="auto"/>
        </w:rPr>
        <w:tab/>
      </w:r>
      <w:r>
        <w:rPr>
          <w:rFonts w:hint="eastAsia"/>
          <w:color w:val="auto"/>
          <w:lang w:val="en-US" w:eastAsia="zh-CN"/>
        </w:rPr>
        <w:t>5</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（三）</w:t>
      </w:r>
      <w:r>
        <w:rPr>
          <w:rStyle w:val="12"/>
          <w:rFonts w:hint="eastAsia" w:ascii="楷体" w:hAnsi="楷体" w:eastAsia="楷体"/>
          <w:color w:val="auto"/>
          <w:sz w:val="24"/>
          <w:szCs w:val="24"/>
          <w:lang w:eastAsia="zh-CN"/>
        </w:rPr>
        <w:t>我省“双学位”“双专业”学历</w:t>
      </w:r>
      <w:r>
        <w:rPr>
          <w:color w:val="auto"/>
        </w:rPr>
        <w:tab/>
      </w:r>
      <w:r>
        <w:rPr>
          <w:rFonts w:hint="eastAsia"/>
          <w:color w:val="auto"/>
          <w:lang w:val="en-US" w:eastAsia="zh-CN"/>
        </w:rPr>
        <w:t>6</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w:t>
      </w:r>
      <w:r>
        <w:rPr>
          <w:rStyle w:val="12"/>
          <w:rFonts w:hint="eastAsia" w:ascii="楷体" w:hAnsi="楷体" w:eastAsia="楷体"/>
          <w:color w:val="auto"/>
          <w:sz w:val="24"/>
          <w:szCs w:val="24"/>
          <w:lang w:eastAsia="zh-CN"/>
        </w:rPr>
        <w:t>四</w:t>
      </w:r>
      <w:r>
        <w:rPr>
          <w:rStyle w:val="12"/>
          <w:rFonts w:hint="eastAsia" w:ascii="楷体" w:hAnsi="楷体" w:eastAsia="楷体"/>
          <w:color w:val="auto"/>
          <w:sz w:val="24"/>
          <w:szCs w:val="24"/>
        </w:rPr>
        <w:t>）</w:t>
      </w:r>
      <w:r>
        <w:rPr>
          <w:rStyle w:val="12"/>
          <w:rFonts w:hint="eastAsia" w:ascii="楷体" w:hAnsi="楷体" w:eastAsia="楷体"/>
          <w:color w:val="auto"/>
          <w:sz w:val="24"/>
          <w:szCs w:val="24"/>
          <w:lang w:eastAsia="zh-CN"/>
        </w:rPr>
        <w:t>提醒事项</w:t>
      </w:r>
      <w:r>
        <w:rPr>
          <w:color w:val="auto"/>
        </w:rPr>
        <w:tab/>
      </w:r>
      <w:r>
        <w:rPr>
          <w:rFonts w:hint="eastAsia"/>
          <w:color w:val="auto"/>
          <w:lang w:val="en-US" w:eastAsia="zh-CN"/>
        </w:rPr>
        <w:t>6</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"_Toc70495075" </w:instrText>
      </w:r>
      <w:r>
        <w:rPr>
          <w:color w:val="auto"/>
        </w:rPr>
        <w:fldChar w:fldCharType="separate"/>
      </w:r>
      <w:r>
        <w:rPr>
          <w:rStyle w:val="12"/>
          <w:rFonts w:hint="eastAsia" w:ascii="黑体" w:hAnsi="黑体" w:eastAsia="黑体"/>
          <w:b w:val="0"/>
          <w:bCs w:val="0"/>
          <w:color w:val="auto"/>
          <w:sz w:val="24"/>
          <w:szCs w:val="24"/>
        </w:rPr>
        <w:t>六、专业</w:t>
      </w:r>
      <w:r>
        <w:rPr>
          <w:color w:val="auto"/>
        </w:rPr>
        <w:tab/>
      </w:r>
      <w:r>
        <w:rPr>
          <w:color w:val="auto"/>
        </w:rPr>
        <w:fldChar w:fldCharType="begin"/>
      </w:r>
      <w:r>
        <w:rPr>
          <w:color w:val="auto"/>
        </w:rPr>
        <w:instrText xml:space="preserve"> PAGEREF _Toc70495075 \h </w:instrText>
      </w:r>
      <w:r>
        <w:rPr>
          <w:color w:val="auto"/>
        </w:rPr>
        <w:fldChar w:fldCharType="separate"/>
      </w:r>
      <w:r>
        <w:rPr>
          <w:color w:val="auto"/>
        </w:rPr>
        <w:t>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"_Toc70495076" </w:instrText>
      </w:r>
      <w:r>
        <w:rPr>
          <w:color w:val="auto"/>
        </w:rPr>
        <w:fldChar w:fldCharType="separate"/>
      </w:r>
      <w:r>
        <w:rPr>
          <w:rStyle w:val="12"/>
          <w:rFonts w:hint="eastAsia" w:ascii="楷体" w:hAnsi="楷体" w:eastAsia="楷体"/>
          <w:color w:val="auto"/>
          <w:sz w:val="24"/>
          <w:szCs w:val="24"/>
        </w:rPr>
        <w:t>（一）填报专业名称</w:t>
      </w:r>
      <w:r>
        <w:rPr>
          <w:color w:val="auto"/>
        </w:rPr>
        <w:tab/>
      </w:r>
      <w:r>
        <w:rPr>
          <w:color w:val="auto"/>
        </w:rPr>
        <w:fldChar w:fldCharType="begin"/>
      </w:r>
      <w:r>
        <w:rPr>
          <w:color w:val="auto"/>
        </w:rPr>
        <w:instrText xml:space="preserve"> PAGEREF _Toc70495076 \h </w:instrText>
      </w:r>
      <w:r>
        <w:rPr>
          <w:color w:val="auto"/>
        </w:rPr>
        <w:fldChar w:fldCharType="separate"/>
      </w:r>
      <w:r>
        <w:rPr>
          <w:color w:val="auto"/>
        </w:rPr>
        <w:t>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"_Toc70495077" </w:instrText>
      </w:r>
      <w:r>
        <w:rPr>
          <w:color w:val="auto"/>
        </w:rPr>
        <w:fldChar w:fldCharType="separate"/>
      </w:r>
      <w:r>
        <w:rPr>
          <w:rStyle w:val="12"/>
          <w:rFonts w:hint="eastAsia" w:ascii="楷体" w:hAnsi="楷体" w:eastAsia="楷体"/>
          <w:color w:val="auto"/>
          <w:sz w:val="24"/>
          <w:szCs w:val="24"/>
        </w:rPr>
        <w:t>（二）专业与学历（位）的对应关系</w:t>
      </w:r>
      <w:r>
        <w:rPr>
          <w:color w:val="auto"/>
        </w:rPr>
        <w:tab/>
      </w:r>
      <w:r>
        <w:rPr>
          <w:rFonts w:hint="eastAsia"/>
          <w:color w:val="auto"/>
          <w:lang w:val="en-US" w:eastAsia="zh-CN"/>
        </w:rPr>
        <w:t>7</w:t>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"_Toc70495078" </w:instrText>
      </w:r>
      <w:r>
        <w:rPr>
          <w:color w:val="auto"/>
        </w:rPr>
        <w:fldChar w:fldCharType="separate"/>
      </w:r>
      <w:r>
        <w:rPr>
          <w:rStyle w:val="12"/>
          <w:rFonts w:hint="eastAsia" w:ascii="楷体" w:hAnsi="楷体" w:eastAsia="楷体"/>
          <w:color w:val="auto"/>
          <w:sz w:val="24"/>
          <w:szCs w:val="24"/>
        </w:rPr>
        <w:t>（三）专业资格的认定</w:t>
      </w:r>
      <w:r>
        <w:rPr>
          <w:color w:val="auto"/>
        </w:rPr>
        <w:tab/>
      </w:r>
      <w:r>
        <w:rPr>
          <w:rFonts w:hint="eastAsia"/>
          <w:color w:val="auto"/>
          <w:lang w:val="en-US" w:eastAsia="zh-CN"/>
        </w:rPr>
        <w:t>8</w:t>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"_Toc70495079" </w:instrText>
      </w:r>
      <w:r>
        <w:rPr>
          <w:color w:val="auto"/>
        </w:rPr>
        <w:fldChar w:fldCharType="separate"/>
      </w:r>
      <w:r>
        <w:rPr>
          <w:rStyle w:val="12"/>
          <w:rFonts w:hint="eastAsia" w:ascii="黑体" w:hAnsi="黑体" w:eastAsia="黑体"/>
          <w:b w:val="0"/>
          <w:bCs w:val="0"/>
          <w:color w:val="auto"/>
          <w:sz w:val="24"/>
          <w:szCs w:val="24"/>
        </w:rPr>
        <w:t>七、工作经验</w:t>
      </w:r>
      <w:r>
        <w:rPr>
          <w:color w:val="auto"/>
        </w:rPr>
        <w:tab/>
      </w:r>
      <w:r>
        <w:rPr>
          <w:color w:val="auto"/>
        </w:rPr>
        <w:fldChar w:fldCharType="begin"/>
      </w:r>
      <w:r>
        <w:rPr>
          <w:color w:val="auto"/>
        </w:rPr>
        <w:instrText xml:space="preserve"> PAGEREF _Toc70495079 \h </w:instrText>
      </w:r>
      <w:r>
        <w:rPr>
          <w:color w:val="auto"/>
        </w:rPr>
        <w:fldChar w:fldCharType="separate"/>
      </w:r>
      <w:r>
        <w:rPr>
          <w:color w:val="auto"/>
        </w:rPr>
        <w:t>9</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"_Toc70495080" </w:instrText>
      </w:r>
      <w:r>
        <w:rPr>
          <w:color w:val="auto"/>
        </w:rPr>
        <w:fldChar w:fldCharType="separate"/>
      </w:r>
      <w:r>
        <w:rPr>
          <w:rStyle w:val="12"/>
          <w:rFonts w:hint="eastAsia" w:ascii="黑体" w:hAnsi="黑体" w:eastAsia="黑体"/>
          <w:b w:val="0"/>
          <w:bCs w:val="0"/>
          <w:color w:val="auto"/>
          <w:sz w:val="24"/>
          <w:szCs w:val="24"/>
        </w:rPr>
        <w:t>八、可免笔试情形</w:t>
      </w:r>
      <w:r>
        <w:rPr>
          <w:color w:val="auto"/>
        </w:rPr>
        <w:tab/>
      </w:r>
      <w:r>
        <w:rPr>
          <w:color w:val="auto"/>
        </w:rPr>
        <w:fldChar w:fldCharType="begin"/>
      </w:r>
      <w:r>
        <w:rPr>
          <w:color w:val="auto"/>
        </w:rPr>
        <w:instrText xml:space="preserve"> PAGEREF _Toc70495080 \h </w:instrText>
      </w:r>
      <w:r>
        <w:rPr>
          <w:color w:val="auto"/>
        </w:rPr>
        <w:fldChar w:fldCharType="separate"/>
      </w:r>
      <w:r>
        <w:rPr>
          <w:color w:val="auto"/>
        </w:rPr>
        <w:t>10</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"_Toc70495080" </w:instrText>
      </w:r>
      <w:r>
        <w:rPr>
          <w:color w:val="auto"/>
        </w:rPr>
        <w:fldChar w:fldCharType="separate"/>
      </w:r>
      <w:r>
        <w:rPr>
          <w:rStyle w:val="12"/>
          <w:rFonts w:hint="eastAsia" w:ascii="黑体" w:hAnsi="黑体" w:eastAsia="黑体"/>
          <w:b w:val="0"/>
          <w:bCs w:val="0"/>
          <w:color w:val="auto"/>
          <w:sz w:val="24"/>
          <w:szCs w:val="24"/>
          <w:lang w:val="en-US" w:eastAsia="zh-CN"/>
        </w:rPr>
        <w:t>九</w:t>
      </w:r>
      <w:r>
        <w:rPr>
          <w:rStyle w:val="12"/>
          <w:rFonts w:hint="eastAsia" w:ascii="黑体" w:hAnsi="黑体" w:eastAsia="黑体"/>
          <w:b w:val="0"/>
          <w:bCs w:val="0"/>
          <w:color w:val="auto"/>
          <w:sz w:val="24"/>
          <w:szCs w:val="24"/>
        </w:rPr>
        <w:t>、</w:t>
      </w:r>
      <w:r>
        <w:rPr>
          <w:rStyle w:val="12"/>
          <w:rFonts w:hint="eastAsia" w:ascii="黑体" w:hAnsi="黑体" w:eastAsia="黑体"/>
          <w:b w:val="0"/>
          <w:bCs w:val="0"/>
          <w:color w:val="auto"/>
          <w:sz w:val="24"/>
          <w:szCs w:val="24"/>
          <w:lang w:val="en-US" w:eastAsia="zh-CN"/>
        </w:rPr>
        <w:t>岗位开考比例</w:t>
      </w:r>
      <w:r>
        <w:rPr>
          <w:color w:val="auto"/>
        </w:rPr>
        <w:tab/>
      </w:r>
      <w:r>
        <w:rPr>
          <w:color w:val="auto"/>
        </w:rPr>
        <w:fldChar w:fldCharType="begin"/>
      </w:r>
      <w:r>
        <w:rPr>
          <w:color w:val="auto"/>
        </w:rPr>
        <w:instrText xml:space="preserve"> PAGEREF _Toc70495080 \h </w:instrText>
      </w:r>
      <w:r>
        <w:rPr>
          <w:color w:val="auto"/>
        </w:rPr>
        <w:fldChar w:fldCharType="separate"/>
      </w:r>
      <w:r>
        <w:rPr>
          <w:color w:val="auto"/>
        </w:rPr>
        <w:t>10</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"_Toc70495084" </w:instrText>
      </w:r>
      <w:r>
        <w:rPr>
          <w:color w:val="auto"/>
        </w:rPr>
        <w:fldChar w:fldCharType="separate"/>
      </w:r>
      <w:r>
        <w:rPr>
          <w:rStyle w:val="12"/>
          <w:rFonts w:hint="eastAsia" w:ascii="黑体" w:hAnsi="黑体" w:eastAsia="黑体"/>
          <w:b w:val="0"/>
          <w:bCs w:val="0"/>
          <w:color w:val="auto"/>
          <w:sz w:val="24"/>
          <w:szCs w:val="24"/>
          <w:lang w:val="en-US" w:eastAsia="zh-CN"/>
        </w:rPr>
        <w:t>十</w:t>
      </w:r>
      <w:r>
        <w:rPr>
          <w:rStyle w:val="12"/>
          <w:rFonts w:hint="eastAsia" w:ascii="黑体" w:hAnsi="黑体" w:eastAsia="黑体"/>
          <w:b w:val="0"/>
          <w:bCs w:val="0"/>
          <w:color w:val="auto"/>
          <w:sz w:val="24"/>
          <w:szCs w:val="24"/>
        </w:rPr>
        <w:t>、笔试加分</w:t>
      </w:r>
      <w:r>
        <w:rPr>
          <w:color w:val="auto"/>
        </w:rPr>
        <w:tab/>
      </w:r>
      <w:r>
        <w:rPr>
          <w:color w:val="auto"/>
        </w:rPr>
        <w:fldChar w:fldCharType="begin"/>
      </w:r>
      <w:r>
        <w:rPr>
          <w:color w:val="auto"/>
        </w:rPr>
        <w:instrText xml:space="preserve"> PAGEREF _Toc70495084 \h </w:instrText>
      </w:r>
      <w:r>
        <w:rPr>
          <w:color w:val="auto"/>
        </w:rPr>
        <w:fldChar w:fldCharType="separate"/>
      </w:r>
      <w:r>
        <w:rPr>
          <w:color w:val="auto"/>
        </w:rPr>
        <w:t>10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"_Toc70495085" </w:instrText>
      </w:r>
      <w:r>
        <w:rPr>
          <w:color w:val="auto"/>
        </w:rPr>
        <w:fldChar w:fldCharType="separate"/>
      </w:r>
      <w:r>
        <w:rPr>
          <w:rStyle w:val="12"/>
          <w:rFonts w:hint="eastAsia" w:ascii="楷体" w:hAnsi="楷体" w:eastAsia="楷体"/>
          <w:color w:val="auto"/>
          <w:sz w:val="24"/>
          <w:szCs w:val="24"/>
        </w:rPr>
        <w:t>（一）加分原则</w:t>
      </w:r>
      <w:r>
        <w:rPr>
          <w:color w:val="auto"/>
        </w:rPr>
        <w:tab/>
      </w:r>
      <w:r>
        <w:rPr>
          <w:color w:val="auto"/>
        </w:rPr>
        <w:fldChar w:fldCharType="begin"/>
      </w:r>
      <w:r>
        <w:rPr>
          <w:color w:val="auto"/>
        </w:rPr>
        <w:instrText xml:space="preserve"> PAGEREF _Toc70495085 \h </w:instrText>
      </w:r>
      <w:r>
        <w:rPr>
          <w:color w:val="auto"/>
        </w:rPr>
        <w:fldChar w:fldCharType="separate"/>
      </w:r>
      <w:r>
        <w:rPr>
          <w:color w:val="auto"/>
        </w:rPr>
        <w:t>10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"_Toc70495086" </w:instrText>
      </w:r>
      <w:r>
        <w:rPr>
          <w:color w:val="auto"/>
        </w:rPr>
        <w:fldChar w:fldCharType="separate"/>
      </w:r>
      <w:r>
        <w:rPr>
          <w:rStyle w:val="12"/>
          <w:rFonts w:hint="eastAsia" w:ascii="楷体" w:hAnsi="楷体" w:eastAsia="楷体"/>
          <w:color w:val="auto"/>
          <w:sz w:val="24"/>
          <w:szCs w:val="24"/>
        </w:rPr>
        <w:t>（二）加分对象</w:t>
      </w:r>
      <w:r>
        <w:rPr>
          <w:color w:val="auto"/>
        </w:rPr>
        <w:tab/>
      </w:r>
      <w:r>
        <w:rPr>
          <w:color w:val="auto"/>
        </w:rPr>
        <w:fldChar w:fldCharType="begin"/>
      </w:r>
      <w:r>
        <w:rPr>
          <w:color w:val="auto"/>
        </w:rPr>
        <w:instrText xml:space="preserve"> PAGEREF _Toc70495086 \h </w:instrText>
      </w:r>
      <w:r>
        <w:rPr>
          <w:color w:val="auto"/>
        </w:rPr>
        <w:fldChar w:fldCharType="separate"/>
      </w:r>
      <w:r>
        <w:rPr>
          <w:color w:val="auto"/>
        </w:rPr>
        <w:t>11</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"_Toc70495087" </w:instrText>
      </w:r>
      <w:r>
        <w:rPr>
          <w:color w:val="auto"/>
        </w:rPr>
        <w:fldChar w:fldCharType="separate"/>
      </w:r>
      <w:r>
        <w:rPr>
          <w:rStyle w:val="12"/>
          <w:rFonts w:ascii="楷体" w:hAnsi="楷体" w:eastAsia="楷体"/>
          <w:color w:val="auto"/>
          <w:sz w:val="24"/>
          <w:szCs w:val="24"/>
        </w:rPr>
        <w:t>1.</w:t>
      </w:r>
      <w:r>
        <w:rPr>
          <w:rStyle w:val="12"/>
          <w:rFonts w:hint="eastAsia" w:ascii="楷体" w:hAnsi="楷体" w:eastAsia="楷体"/>
          <w:color w:val="auto"/>
          <w:sz w:val="24"/>
          <w:szCs w:val="24"/>
        </w:rPr>
        <w:t>服务基层项目高校毕业人员</w:t>
      </w:r>
      <w:r>
        <w:rPr>
          <w:color w:val="auto"/>
        </w:rPr>
        <w:tab/>
      </w:r>
      <w:r>
        <w:rPr>
          <w:rFonts w:hint="eastAsia"/>
          <w:color w:val="auto"/>
          <w:lang w:val="en-US" w:eastAsia="zh-CN"/>
        </w:rPr>
        <w:t>1</w:t>
      </w:r>
      <w:r>
        <w:rPr>
          <w:color w:val="auto"/>
        </w:rPr>
        <w:fldChar w:fldCharType="end"/>
      </w:r>
      <w:r>
        <w:rPr>
          <w:rFonts w:hint="eastAsia"/>
          <w:color w:val="auto"/>
          <w:lang w:val="en-US" w:eastAsia="zh-CN"/>
        </w:rPr>
        <w:t>1</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"_Toc70495088" </w:instrText>
      </w:r>
      <w:r>
        <w:rPr>
          <w:color w:val="auto"/>
        </w:rPr>
        <w:fldChar w:fldCharType="separate"/>
      </w:r>
      <w:r>
        <w:rPr>
          <w:rStyle w:val="12"/>
          <w:rFonts w:ascii="楷体" w:hAnsi="楷体" w:eastAsia="楷体"/>
          <w:color w:val="auto"/>
          <w:sz w:val="24"/>
          <w:szCs w:val="24"/>
        </w:rPr>
        <w:t>2.</w:t>
      </w:r>
      <w:r>
        <w:rPr>
          <w:rStyle w:val="12"/>
          <w:rFonts w:hint="eastAsia" w:ascii="楷体" w:hAnsi="楷体" w:eastAsia="楷体"/>
          <w:color w:val="auto"/>
          <w:sz w:val="24"/>
          <w:szCs w:val="24"/>
        </w:rPr>
        <w:t>退役士兵（含大学生退役士兵）</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"_Toc70495089" </w:instrText>
      </w:r>
      <w:r>
        <w:rPr>
          <w:color w:val="auto"/>
        </w:rPr>
        <w:fldChar w:fldCharType="separate"/>
      </w:r>
      <w:r>
        <w:rPr>
          <w:rStyle w:val="12"/>
          <w:rFonts w:ascii="楷体" w:hAnsi="楷体" w:eastAsia="楷体"/>
          <w:color w:val="auto"/>
          <w:sz w:val="24"/>
          <w:szCs w:val="24"/>
        </w:rPr>
        <w:t>3.</w:t>
      </w:r>
      <w:r>
        <w:rPr>
          <w:rStyle w:val="12"/>
          <w:rFonts w:hint="eastAsia" w:ascii="楷体" w:hAnsi="楷体" w:eastAsia="楷体"/>
          <w:color w:val="auto"/>
          <w:sz w:val="24"/>
          <w:szCs w:val="24"/>
        </w:rPr>
        <w:t>退役优秀运动员</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"_Toc70495090" </w:instrText>
      </w:r>
      <w:r>
        <w:rPr>
          <w:color w:val="auto"/>
        </w:rPr>
        <w:fldChar w:fldCharType="separate"/>
      </w:r>
      <w:r>
        <w:rPr>
          <w:rStyle w:val="12"/>
          <w:rFonts w:hint="eastAsia" w:ascii="楷体" w:hAnsi="楷体" w:eastAsia="楷体"/>
          <w:color w:val="auto"/>
          <w:sz w:val="24"/>
          <w:szCs w:val="24"/>
        </w:rPr>
        <w:t>（三）加分证明材料</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"_Toc70495091"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一</w:t>
      </w:r>
      <w:r>
        <w:rPr>
          <w:rStyle w:val="12"/>
          <w:rFonts w:hint="eastAsia" w:ascii="黑体" w:hAnsi="黑体" w:eastAsia="黑体"/>
          <w:b w:val="0"/>
          <w:bCs w:val="0"/>
          <w:color w:val="auto"/>
          <w:sz w:val="24"/>
          <w:szCs w:val="24"/>
        </w:rPr>
        <w:t>、综合总分计算</w:t>
      </w:r>
      <w:r>
        <w:rPr>
          <w:color w:val="auto"/>
        </w:rPr>
        <w:tab/>
      </w:r>
      <w:r>
        <w:rPr>
          <w:color w:val="auto"/>
        </w:rPr>
        <w:fldChar w:fldCharType="begin"/>
      </w:r>
      <w:r>
        <w:rPr>
          <w:color w:val="auto"/>
        </w:rPr>
        <w:instrText xml:space="preserve"> PAGEREF _Toc70495091 \h </w:instrText>
      </w:r>
      <w:r>
        <w:rPr>
          <w:color w:val="auto"/>
        </w:rPr>
        <w:fldChar w:fldCharType="separate"/>
      </w:r>
      <w:r>
        <w:rPr>
          <w:color w:val="auto"/>
        </w:rPr>
        <w:t>13</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"_Toc70495092"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二</w:t>
      </w:r>
      <w:r>
        <w:rPr>
          <w:rStyle w:val="12"/>
          <w:rFonts w:hint="eastAsia" w:ascii="黑体" w:hAnsi="黑体" w:eastAsia="黑体"/>
          <w:b w:val="0"/>
          <w:bCs w:val="0"/>
          <w:color w:val="auto"/>
          <w:sz w:val="24"/>
          <w:szCs w:val="24"/>
        </w:rPr>
        <w:t>、体检和考察</w:t>
      </w:r>
      <w:r>
        <w:rPr>
          <w:color w:val="auto"/>
        </w:rPr>
        <w:tab/>
      </w:r>
      <w:r>
        <w:rPr>
          <w:color w:val="auto"/>
        </w:rPr>
        <w:fldChar w:fldCharType="begin"/>
      </w:r>
      <w:r>
        <w:rPr>
          <w:color w:val="auto"/>
        </w:rPr>
        <w:instrText xml:space="preserve"> PAGEREF _Toc70495092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"_Toc70495093" </w:instrText>
      </w:r>
      <w:r>
        <w:rPr>
          <w:color w:val="auto"/>
        </w:rPr>
        <w:fldChar w:fldCharType="separate"/>
      </w:r>
      <w:r>
        <w:rPr>
          <w:rStyle w:val="12"/>
          <w:rFonts w:hint="eastAsia" w:ascii="楷体" w:hAnsi="楷体" w:eastAsia="楷体"/>
          <w:color w:val="auto"/>
          <w:sz w:val="24"/>
          <w:szCs w:val="24"/>
        </w:rPr>
        <w:t>（一）确定体检人选</w:t>
      </w:r>
      <w:r>
        <w:rPr>
          <w:color w:val="auto"/>
        </w:rPr>
        <w:tab/>
      </w:r>
      <w:r>
        <w:rPr>
          <w:color w:val="auto"/>
        </w:rPr>
        <w:fldChar w:fldCharType="begin"/>
      </w:r>
      <w:r>
        <w:rPr>
          <w:color w:val="auto"/>
        </w:rPr>
        <w:instrText xml:space="preserve"> PAGEREF _Toc70495093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"_Toc70495094" </w:instrText>
      </w:r>
      <w:r>
        <w:rPr>
          <w:color w:val="auto"/>
        </w:rPr>
        <w:fldChar w:fldCharType="separate"/>
      </w:r>
      <w:r>
        <w:rPr>
          <w:rStyle w:val="12"/>
          <w:rFonts w:hint="eastAsia" w:ascii="楷体" w:hAnsi="楷体" w:eastAsia="楷体"/>
          <w:color w:val="auto"/>
          <w:sz w:val="24"/>
          <w:szCs w:val="24"/>
        </w:rPr>
        <w:t>（二）组织体检</w:t>
      </w:r>
      <w:r>
        <w:rPr>
          <w:color w:val="auto"/>
        </w:rPr>
        <w:tab/>
      </w:r>
      <w:r>
        <w:rPr>
          <w:color w:val="auto"/>
        </w:rPr>
        <w:fldChar w:fldCharType="begin"/>
      </w:r>
      <w:r>
        <w:rPr>
          <w:color w:val="auto"/>
        </w:rPr>
        <w:instrText xml:space="preserve"> PAGEREF _Toc70495094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"_Toc70495095" </w:instrText>
      </w:r>
      <w:r>
        <w:rPr>
          <w:color w:val="auto"/>
        </w:rPr>
        <w:fldChar w:fldCharType="separate"/>
      </w:r>
      <w:r>
        <w:rPr>
          <w:rStyle w:val="12"/>
          <w:rFonts w:hint="eastAsia" w:ascii="楷体" w:hAnsi="楷体" w:eastAsia="楷体"/>
          <w:color w:val="auto"/>
          <w:sz w:val="24"/>
          <w:szCs w:val="24"/>
        </w:rPr>
        <w:t>（三）体检依据</w:t>
      </w:r>
      <w:r>
        <w:rPr>
          <w:color w:val="auto"/>
        </w:rPr>
        <w:tab/>
      </w:r>
      <w:r>
        <w:rPr>
          <w:color w:val="auto"/>
        </w:rPr>
        <w:fldChar w:fldCharType="begin"/>
      </w:r>
      <w:r>
        <w:rPr>
          <w:color w:val="auto"/>
        </w:rPr>
        <w:instrText xml:space="preserve"> PAGEREF _Toc70495095 \h </w:instrText>
      </w:r>
      <w:r>
        <w:rPr>
          <w:color w:val="auto"/>
        </w:rPr>
        <w:fldChar w:fldCharType="separate"/>
      </w:r>
      <w:r>
        <w:rPr>
          <w:color w:val="auto"/>
        </w:rPr>
        <w:t>14</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"_Toc70495096" </w:instrText>
      </w:r>
      <w:r>
        <w:rPr>
          <w:color w:val="auto"/>
        </w:rPr>
        <w:fldChar w:fldCharType="separate"/>
      </w:r>
      <w:r>
        <w:rPr>
          <w:rStyle w:val="12"/>
          <w:rFonts w:hint="eastAsia" w:ascii="楷体" w:hAnsi="楷体" w:eastAsia="楷体"/>
          <w:color w:val="auto"/>
          <w:sz w:val="24"/>
          <w:szCs w:val="24"/>
        </w:rPr>
        <w:t>（四）体检复检</w:t>
      </w:r>
      <w:r>
        <w:rPr>
          <w:color w:val="auto"/>
        </w:rPr>
        <w:tab/>
      </w:r>
      <w:r>
        <w:rPr>
          <w:rFonts w:hint="eastAsia"/>
          <w:color w:val="auto"/>
          <w:lang w:val="en-US" w:eastAsia="zh-CN"/>
        </w:rPr>
        <w:t>1</w:t>
      </w:r>
      <w:r>
        <w:rPr>
          <w:color w:val="auto"/>
        </w:rPr>
        <w:fldChar w:fldCharType="end"/>
      </w:r>
      <w:r>
        <w:rPr>
          <w:rFonts w:hint="eastAsia"/>
          <w:color w:val="auto"/>
          <w:lang w:val="en-US" w:eastAsia="zh-CN"/>
        </w:rPr>
        <w:t>5</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"_Toc70495097" </w:instrText>
      </w:r>
      <w:r>
        <w:rPr>
          <w:color w:val="auto"/>
        </w:rPr>
        <w:fldChar w:fldCharType="separate"/>
      </w:r>
      <w:r>
        <w:rPr>
          <w:rStyle w:val="12"/>
          <w:rFonts w:hint="eastAsia" w:ascii="楷体" w:hAnsi="楷体" w:eastAsia="楷体"/>
          <w:color w:val="auto"/>
          <w:sz w:val="24"/>
          <w:szCs w:val="24"/>
        </w:rPr>
        <w:t>（五）可延迟体检的情形</w:t>
      </w:r>
      <w:r>
        <w:rPr>
          <w:color w:val="auto"/>
        </w:rPr>
        <w:tab/>
      </w:r>
      <w:r>
        <w:rPr>
          <w:color w:val="auto"/>
        </w:rPr>
        <w:fldChar w:fldCharType="begin"/>
      </w:r>
      <w:r>
        <w:rPr>
          <w:color w:val="auto"/>
        </w:rPr>
        <w:instrText xml:space="preserve"> PAGEREF _Toc70495097 \h </w:instrText>
      </w:r>
      <w:r>
        <w:rPr>
          <w:color w:val="auto"/>
        </w:rPr>
        <w:fldChar w:fldCharType="separate"/>
      </w:r>
      <w:r>
        <w:rPr>
          <w:color w:val="auto"/>
        </w:rPr>
        <w:t>15</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"_Toc70495098" </w:instrText>
      </w:r>
      <w:r>
        <w:rPr>
          <w:color w:val="auto"/>
        </w:rPr>
        <w:fldChar w:fldCharType="separate"/>
      </w:r>
      <w:r>
        <w:rPr>
          <w:rStyle w:val="12"/>
          <w:rFonts w:hint="eastAsia" w:ascii="楷体" w:hAnsi="楷体" w:eastAsia="楷体"/>
          <w:color w:val="auto"/>
          <w:sz w:val="24"/>
          <w:szCs w:val="24"/>
        </w:rPr>
        <w:t>（六）考察</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"_Toc70495099"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三</w:t>
      </w:r>
      <w:r>
        <w:rPr>
          <w:rStyle w:val="12"/>
          <w:rFonts w:hint="eastAsia" w:ascii="黑体" w:hAnsi="黑体" w:eastAsia="黑体"/>
          <w:b w:val="0"/>
          <w:bCs w:val="0"/>
          <w:color w:val="auto"/>
          <w:sz w:val="24"/>
          <w:szCs w:val="24"/>
        </w:rPr>
        <w:t>、公示</w:t>
      </w:r>
      <w:r>
        <w:rPr>
          <w:color w:val="auto"/>
        </w:rPr>
        <w:tab/>
      </w:r>
      <w:r>
        <w:rPr>
          <w:color w:val="auto"/>
        </w:rPr>
        <w:fldChar w:fldCharType="begin"/>
      </w:r>
      <w:r>
        <w:rPr>
          <w:color w:val="auto"/>
        </w:rPr>
        <w:instrText xml:space="preserve"> PAGEREF _Toc70495099 \h </w:instrText>
      </w:r>
      <w:r>
        <w:rPr>
          <w:color w:val="auto"/>
        </w:rPr>
        <w:fldChar w:fldCharType="separate"/>
      </w:r>
      <w:r>
        <w:rPr>
          <w:color w:val="auto"/>
        </w:rPr>
        <w:t>16</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"_Toc70495100"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四</w:t>
      </w:r>
      <w:r>
        <w:rPr>
          <w:rStyle w:val="12"/>
          <w:rFonts w:hint="eastAsia" w:ascii="黑体" w:hAnsi="黑体" w:eastAsia="黑体"/>
          <w:b w:val="0"/>
          <w:bCs w:val="0"/>
          <w:color w:val="auto"/>
          <w:sz w:val="24"/>
          <w:szCs w:val="24"/>
        </w:rPr>
        <w:t>、聘用</w:t>
      </w:r>
      <w:r>
        <w:rPr>
          <w:rStyle w:val="12"/>
          <w:rFonts w:hint="eastAsia" w:ascii="黑体" w:hAnsi="黑体" w:eastAsia="黑体"/>
          <w:b w:val="0"/>
          <w:bCs w:val="0"/>
          <w:color w:val="auto"/>
          <w:sz w:val="24"/>
          <w:szCs w:val="24"/>
          <w:lang w:val="en-US" w:eastAsia="zh-CN"/>
        </w:rPr>
        <w:t>办理</w:t>
      </w:r>
      <w:r>
        <w:rPr>
          <w:color w:val="auto"/>
        </w:rPr>
        <w:tab/>
      </w:r>
      <w:r>
        <w:rPr>
          <w:color w:val="auto"/>
        </w:rPr>
        <w:fldChar w:fldCharType="begin"/>
      </w:r>
      <w:r>
        <w:rPr>
          <w:color w:val="auto"/>
        </w:rPr>
        <w:instrText xml:space="preserve"> PAGEREF _Toc70495100 \h </w:instrText>
      </w:r>
      <w:r>
        <w:rPr>
          <w:color w:val="auto"/>
        </w:rPr>
        <w:fldChar w:fldCharType="separate"/>
      </w:r>
      <w:r>
        <w:rPr>
          <w:color w:val="auto"/>
        </w:rPr>
        <w:t>16</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"_Toc70495101" </w:instrText>
      </w:r>
      <w:r>
        <w:rPr>
          <w:color w:val="auto"/>
        </w:rPr>
        <w:fldChar w:fldCharType="separate"/>
      </w:r>
      <w:r>
        <w:rPr>
          <w:rStyle w:val="12"/>
          <w:rFonts w:hint="eastAsia" w:ascii="楷体" w:hAnsi="楷体" w:eastAsia="楷体"/>
          <w:color w:val="auto"/>
          <w:sz w:val="24"/>
          <w:szCs w:val="24"/>
        </w:rPr>
        <w:t>（一）聘用手续办理</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"_Toc70495102" </w:instrText>
      </w:r>
      <w:r>
        <w:rPr>
          <w:color w:val="auto"/>
        </w:rPr>
        <w:fldChar w:fldCharType="separate"/>
      </w:r>
      <w:r>
        <w:rPr>
          <w:rStyle w:val="12"/>
          <w:rFonts w:hint="eastAsia" w:ascii="楷体" w:hAnsi="楷体" w:eastAsia="楷体"/>
          <w:color w:val="auto"/>
          <w:sz w:val="24"/>
          <w:szCs w:val="24"/>
        </w:rPr>
        <w:t>（二）岗位聘任</w:t>
      </w:r>
      <w:r>
        <w:rPr>
          <w:color w:val="auto"/>
        </w:rPr>
        <w:tab/>
      </w:r>
      <w:r>
        <w:rPr>
          <w:rFonts w:hint="eastAsia"/>
          <w:color w:val="auto"/>
          <w:lang w:val="en-US" w:eastAsia="zh-CN"/>
        </w:rPr>
        <w:t>1</w:t>
      </w:r>
      <w:r>
        <w:rPr>
          <w:color w:val="auto"/>
        </w:rPr>
        <w:fldChar w:fldCharType="end"/>
      </w:r>
      <w:r>
        <w:rPr>
          <w:rFonts w:hint="eastAsia"/>
          <w:color w:val="auto"/>
          <w:lang w:val="en-US" w:eastAsia="zh-CN"/>
        </w:rPr>
        <w:t>7</w:t>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"_Toc70495103"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五</w:t>
      </w:r>
      <w:r>
        <w:rPr>
          <w:rStyle w:val="12"/>
          <w:rFonts w:hint="eastAsia" w:ascii="黑体" w:hAnsi="黑体" w:eastAsia="黑体"/>
          <w:b w:val="0"/>
          <w:bCs w:val="0"/>
          <w:color w:val="auto"/>
          <w:sz w:val="24"/>
          <w:szCs w:val="24"/>
        </w:rPr>
        <w:t>、其他</w:t>
      </w:r>
      <w:r>
        <w:rPr>
          <w:rStyle w:val="12"/>
          <w:rFonts w:hint="eastAsia" w:ascii="黑体" w:hAnsi="黑体" w:eastAsia="黑体"/>
          <w:b w:val="0"/>
          <w:bCs w:val="0"/>
          <w:color w:val="auto"/>
          <w:sz w:val="24"/>
          <w:szCs w:val="24"/>
          <w:lang w:val="en-US" w:eastAsia="zh-CN"/>
        </w:rPr>
        <w:t>需说明</w:t>
      </w:r>
      <w:r>
        <w:rPr>
          <w:rStyle w:val="12"/>
          <w:rFonts w:hint="eastAsia" w:ascii="黑体" w:hAnsi="黑体" w:eastAsia="黑体"/>
          <w:b w:val="0"/>
          <w:bCs w:val="0"/>
          <w:color w:val="auto"/>
          <w:sz w:val="24"/>
          <w:szCs w:val="24"/>
        </w:rPr>
        <w:t>事项</w:t>
      </w:r>
      <w:r>
        <w:rPr>
          <w:color w:val="auto"/>
        </w:rPr>
        <w:tab/>
      </w:r>
      <w:r>
        <w:rPr>
          <w:color w:val="auto"/>
        </w:rPr>
        <w:fldChar w:fldCharType="begin"/>
      </w:r>
      <w:r>
        <w:rPr>
          <w:color w:val="auto"/>
        </w:rPr>
        <w:instrText xml:space="preserve"> PAGEREF _Toc70495103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"_Toc70495104" </w:instrText>
      </w:r>
      <w:r>
        <w:rPr>
          <w:color w:val="auto"/>
        </w:rPr>
        <w:fldChar w:fldCharType="separate"/>
      </w:r>
      <w:r>
        <w:rPr>
          <w:rStyle w:val="12"/>
          <w:rFonts w:hint="eastAsia" w:ascii="楷体" w:hAnsi="楷体" w:eastAsia="楷体"/>
          <w:color w:val="auto"/>
          <w:sz w:val="24"/>
          <w:szCs w:val="24"/>
        </w:rPr>
        <w:t>（一）职称</w:t>
      </w:r>
      <w:r>
        <w:rPr>
          <w:color w:val="auto"/>
        </w:rPr>
        <w:tab/>
      </w:r>
      <w:r>
        <w:rPr>
          <w:color w:val="auto"/>
        </w:rPr>
        <w:fldChar w:fldCharType="begin"/>
      </w:r>
      <w:r>
        <w:rPr>
          <w:color w:val="auto"/>
        </w:rPr>
        <w:instrText xml:space="preserve"> PAGEREF _Toc70495104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"_Toc70495105" </w:instrText>
      </w:r>
      <w:r>
        <w:rPr>
          <w:color w:val="auto"/>
        </w:rPr>
        <w:fldChar w:fldCharType="separate"/>
      </w:r>
      <w:r>
        <w:rPr>
          <w:rStyle w:val="12"/>
          <w:rFonts w:hint="eastAsia" w:ascii="楷体" w:hAnsi="楷体" w:eastAsia="楷体"/>
          <w:color w:val="auto"/>
          <w:sz w:val="24"/>
          <w:szCs w:val="24"/>
        </w:rPr>
        <w:t>（二）规范化培训</w:t>
      </w:r>
      <w:r>
        <w:rPr>
          <w:color w:val="auto"/>
        </w:rPr>
        <w:tab/>
      </w:r>
      <w:r>
        <w:rPr>
          <w:color w:val="auto"/>
        </w:rPr>
        <w:fldChar w:fldCharType="begin"/>
      </w:r>
      <w:r>
        <w:rPr>
          <w:color w:val="auto"/>
        </w:rPr>
        <w:instrText xml:space="preserve"> PAGEREF _Toc70495105 \h </w:instrText>
      </w:r>
      <w:r>
        <w:rPr>
          <w:color w:val="auto"/>
        </w:rPr>
        <w:fldChar w:fldCharType="separate"/>
      </w:r>
      <w:r>
        <w:rPr>
          <w:color w:val="auto"/>
        </w:rPr>
        <w:t>17</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"_Toc70495106" </w:instrText>
      </w:r>
      <w:r>
        <w:rPr>
          <w:color w:val="auto"/>
        </w:rPr>
        <w:fldChar w:fldCharType="separate"/>
      </w:r>
      <w:r>
        <w:rPr>
          <w:rStyle w:val="12"/>
          <w:rFonts w:hint="eastAsia" w:ascii="楷体" w:hAnsi="楷体" w:eastAsia="楷体"/>
          <w:color w:val="auto"/>
          <w:sz w:val="24"/>
          <w:szCs w:val="24"/>
        </w:rPr>
        <w:t>（三）生源</w:t>
      </w:r>
      <w:r>
        <w:rPr>
          <w:color w:val="auto"/>
        </w:rPr>
        <w:tab/>
      </w:r>
      <w:r>
        <w:rPr>
          <w:color w:val="auto"/>
        </w:rPr>
        <w:fldChar w:fldCharType="begin"/>
      </w:r>
      <w:r>
        <w:rPr>
          <w:color w:val="auto"/>
        </w:rPr>
        <w:instrText xml:space="preserve"> PAGEREF _Toc70495106 \h </w:instrText>
      </w:r>
      <w:r>
        <w:rPr>
          <w:color w:val="auto"/>
        </w:rPr>
        <w:fldChar w:fldCharType="separate"/>
      </w:r>
      <w:r>
        <w:rPr>
          <w:color w:val="auto"/>
        </w:rPr>
        <w:t>18</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"_Toc70495107" </w:instrText>
      </w:r>
      <w:r>
        <w:rPr>
          <w:color w:val="auto"/>
        </w:rPr>
        <w:fldChar w:fldCharType="separate"/>
      </w:r>
      <w:r>
        <w:rPr>
          <w:rStyle w:val="12"/>
          <w:rFonts w:hint="eastAsia" w:ascii="楷体" w:hAnsi="楷体" w:eastAsia="楷体"/>
          <w:color w:val="auto"/>
          <w:sz w:val="24"/>
          <w:szCs w:val="24"/>
        </w:rPr>
        <w:t>（四）港澳台人员</w:t>
      </w:r>
      <w:r>
        <w:rPr>
          <w:color w:val="auto"/>
        </w:rPr>
        <w:tab/>
      </w:r>
      <w:r>
        <w:rPr>
          <w:color w:val="auto"/>
        </w:rPr>
        <w:fldChar w:fldCharType="begin"/>
      </w:r>
      <w:r>
        <w:rPr>
          <w:color w:val="auto"/>
        </w:rPr>
        <w:instrText xml:space="preserve"> PAGEREF _Toc70495107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"_Toc70495108" </w:instrText>
      </w:r>
      <w:r>
        <w:rPr>
          <w:color w:val="auto"/>
        </w:rPr>
        <w:fldChar w:fldCharType="separate"/>
      </w:r>
      <w:r>
        <w:rPr>
          <w:rStyle w:val="12"/>
          <w:rFonts w:hint="eastAsia" w:ascii="楷体" w:hAnsi="楷体" w:eastAsia="楷体"/>
          <w:color w:val="auto"/>
          <w:sz w:val="24"/>
          <w:szCs w:val="24"/>
        </w:rPr>
        <w:t>（五）技工院校毕业生</w:t>
      </w:r>
      <w:r>
        <w:rPr>
          <w:color w:val="auto"/>
        </w:rPr>
        <w:tab/>
      </w:r>
      <w:r>
        <w:rPr>
          <w:color w:val="auto"/>
        </w:rPr>
        <w:fldChar w:fldCharType="begin"/>
      </w:r>
      <w:r>
        <w:rPr>
          <w:color w:val="auto"/>
        </w:rPr>
        <w:instrText xml:space="preserve"> PAGEREF _Toc70495108 \h </w:instrText>
      </w:r>
      <w:r>
        <w:rPr>
          <w:color w:val="auto"/>
        </w:rPr>
        <w:fldChar w:fldCharType="separate"/>
      </w:r>
      <w:r>
        <w:rPr>
          <w:color w:val="auto"/>
        </w:rPr>
        <w:t>19</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"_Toc70495109"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六</w:t>
      </w:r>
      <w:r>
        <w:rPr>
          <w:rStyle w:val="12"/>
          <w:rFonts w:hint="eastAsia" w:ascii="黑体" w:hAnsi="黑体" w:eastAsia="黑体"/>
          <w:b w:val="0"/>
          <w:bCs w:val="0"/>
          <w:color w:val="auto"/>
          <w:sz w:val="24"/>
          <w:szCs w:val="24"/>
        </w:rPr>
        <w:t>、网上报名操作须知</w:t>
      </w:r>
      <w:r>
        <w:rPr>
          <w:color w:val="auto"/>
        </w:rPr>
        <w:tab/>
      </w:r>
      <w:r>
        <w:rPr>
          <w:color w:val="auto"/>
        </w:rPr>
        <w:fldChar w:fldCharType="begin"/>
      </w:r>
      <w:r>
        <w:rPr>
          <w:color w:val="auto"/>
        </w:rPr>
        <w:instrText xml:space="preserve"> PAGEREF _Toc70495109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"_Toc70495110" </w:instrText>
      </w:r>
      <w:r>
        <w:rPr>
          <w:color w:val="auto"/>
        </w:rPr>
        <w:fldChar w:fldCharType="separate"/>
      </w:r>
      <w:r>
        <w:rPr>
          <w:rStyle w:val="12"/>
          <w:rFonts w:hint="eastAsia" w:ascii="楷体" w:hAnsi="楷体" w:eastAsia="楷体"/>
          <w:color w:val="auto"/>
          <w:sz w:val="24"/>
          <w:szCs w:val="24"/>
        </w:rPr>
        <w:t>（一）个人密码重置</w:t>
      </w:r>
      <w:r>
        <w:rPr>
          <w:color w:val="auto"/>
        </w:rPr>
        <w:tab/>
      </w:r>
      <w:r>
        <w:rPr>
          <w:color w:val="auto"/>
        </w:rPr>
        <w:fldChar w:fldCharType="begin"/>
      </w:r>
      <w:r>
        <w:rPr>
          <w:color w:val="auto"/>
        </w:rPr>
        <w:instrText xml:space="preserve"> PAGEREF _Toc70495110 \h </w:instrText>
      </w:r>
      <w:r>
        <w:rPr>
          <w:color w:val="auto"/>
        </w:rPr>
        <w:fldChar w:fldCharType="separate"/>
      </w:r>
      <w:r>
        <w:rPr>
          <w:color w:val="auto"/>
        </w:rPr>
        <w:t>19</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"_Toc70495111" </w:instrText>
      </w:r>
      <w:r>
        <w:rPr>
          <w:color w:val="auto"/>
        </w:rPr>
        <w:fldChar w:fldCharType="separate"/>
      </w:r>
      <w:r>
        <w:rPr>
          <w:rStyle w:val="12"/>
          <w:rFonts w:hint="eastAsia" w:ascii="楷体" w:hAnsi="楷体" w:eastAsia="楷体"/>
          <w:color w:val="auto"/>
          <w:sz w:val="24"/>
          <w:szCs w:val="24"/>
        </w:rPr>
        <w:t>（二）报名信息填写</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"_Toc70495087" </w:instrText>
      </w:r>
      <w:r>
        <w:rPr>
          <w:color w:val="auto"/>
        </w:rPr>
        <w:fldChar w:fldCharType="separate"/>
      </w:r>
      <w:r>
        <w:rPr>
          <w:rStyle w:val="12"/>
          <w:rFonts w:ascii="楷体" w:hAnsi="楷体" w:eastAsia="楷体"/>
          <w:color w:val="auto"/>
          <w:sz w:val="24"/>
          <w:szCs w:val="24"/>
        </w:rPr>
        <w:t>1.</w:t>
      </w:r>
      <w:r>
        <w:rPr>
          <w:rStyle w:val="12"/>
          <w:rFonts w:hint="eastAsia" w:ascii="楷体" w:hAnsi="楷体" w:eastAsia="楷体"/>
          <w:color w:val="auto"/>
          <w:sz w:val="24"/>
          <w:szCs w:val="24"/>
          <w:lang w:val="en-US" w:eastAsia="zh-CN"/>
        </w:rPr>
        <w:t>首次在报名系统注册的考生</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rFonts w:hint="eastAsia" w:eastAsia="宋体"/>
          <w:color w:val="auto"/>
          <w:lang w:val="en-US" w:eastAsia="zh-CN"/>
        </w:rPr>
      </w:pPr>
      <w:r>
        <w:rPr>
          <w:color w:val="auto"/>
        </w:rPr>
        <w:fldChar w:fldCharType="begin"/>
      </w:r>
      <w:r>
        <w:rPr>
          <w:color w:val="auto"/>
        </w:rPr>
        <w:instrText xml:space="preserve"> HYPERLINK \l "_Toc70495088" </w:instrText>
      </w:r>
      <w:r>
        <w:rPr>
          <w:color w:val="auto"/>
        </w:rPr>
        <w:fldChar w:fldCharType="separate"/>
      </w:r>
      <w:r>
        <w:rPr>
          <w:rStyle w:val="12"/>
          <w:rFonts w:ascii="楷体" w:hAnsi="楷体" w:eastAsia="楷体"/>
          <w:color w:val="auto"/>
          <w:sz w:val="24"/>
          <w:szCs w:val="24"/>
        </w:rPr>
        <w:t>2.</w:t>
      </w:r>
      <w:r>
        <w:rPr>
          <w:rStyle w:val="12"/>
          <w:rFonts w:hint="eastAsia" w:ascii="楷体" w:hAnsi="楷体" w:eastAsia="楷体"/>
          <w:color w:val="auto"/>
          <w:sz w:val="24"/>
          <w:szCs w:val="24"/>
          <w:lang w:val="en-US" w:eastAsia="zh-CN"/>
        </w:rPr>
        <w:t>曾在报名系统注册的考生</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"_Toc70495112" </w:instrText>
      </w:r>
      <w:r>
        <w:rPr>
          <w:color w:val="auto"/>
        </w:rPr>
        <w:fldChar w:fldCharType="separate"/>
      </w:r>
      <w:r>
        <w:rPr>
          <w:rStyle w:val="12"/>
          <w:rFonts w:hint="eastAsia" w:ascii="楷体" w:hAnsi="楷体" w:eastAsia="楷体"/>
          <w:color w:val="auto"/>
          <w:sz w:val="24"/>
          <w:szCs w:val="24"/>
        </w:rPr>
        <w:t>（三）报名次数限定</w:t>
      </w:r>
      <w:r>
        <w:rPr>
          <w:color w:val="auto"/>
        </w:rPr>
        <w:tab/>
      </w:r>
      <w:r>
        <w:rPr>
          <w:color w:val="auto"/>
        </w:rPr>
        <w:fldChar w:fldCharType="begin"/>
      </w:r>
      <w:r>
        <w:rPr>
          <w:color w:val="auto"/>
        </w:rPr>
        <w:instrText xml:space="preserve"> PAGEREF _Toc70495112 \h </w:instrText>
      </w:r>
      <w:r>
        <w:rPr>
          <w:color w:val="auto"/>
        </w:rPr>
        <w:fldChar w:fldCharType="separate"/>
      </w:r>
      <w:r>
        <w:rPr>
          <w:color w:val="auto"/>
        </w:rPr>
        <w:t>20</w:t>
      </w:r>
      <w:r>
        <w:rPr>
          <w:color w:val="auto"/>
        </w:rPr>
        <w:fldChar w:fldCharType="end"/>
      </w:r>
      <w:r>
        <w:rPr>
          <w:color w:val="auto"/>
        </w:rPr>
        <w:fldChar w:fldCharType="end"/>
      </w:r>
    </w:p>
    <w:p>
      <w:pPr>
        <w:pStyle w:val="8"/>
        <w:keepNext w:val="0"/>
        <w:keepLines w:val="0"/>
        <w:pageBreakBefore w:val="0"/>
        <w:widowControl w:val="0"/>
        <w:tabs>
          <w:tab w:val="right" w:leader="dot" w:pos="8834"/>
        </w:tabs>
        <w:kinsoku/>
        <w:wordWrap/>
        <w:overflowPunct/>
        <w:topLinePunct w:val="0"/>
        <w:autoSpaceDE/>
        <w:autoSpaceDN/>
        <w:bidi w:val="0"/>
        <w:adjustRightInd/>
        <w:snapToGrid w:val="0"/>
        <w:spacing w:line="560" w:lineRule="exact"/>
        <w:ind w:left="0" w:leftChars="0" w:firstLine="420" w:firstLineChars="200"/>
        <w:textAlignment w:val="auto"/>
        <w:rPr>
          <w:color w:val="auto"/>
        </w:rPr>
      </w:pPr>
      <w:r>
        <w:rPr>
          <w:color w:val="auto"/>
        </w:rPr>
        <w:fldChar w:fldCharType="begin"/>
      </w:r>
      <w:r>
        <w:rPr>
          <w:color w:val="auto"/>
        </w:rPr>
        <w:instrText xml:space="preserve"> HYPERLINK \l "_Toc70495113" </w:instrText>
      </w:r>
      <w:r>
        <w:rPr>
          <w:color w:val="auto"/>
        </w:rPr>
        <w:fldChar w:fldCharType="separate"/>
      </w:r>
      <w:r>
        <w:rPr>
          <w:rStyle w:val="12"/>
          <w:rFonts w:hint="eastAsia" w:ascii="楷体" w:hAnsi="楷体" w:eastAsia="楷体"/>
          <w:color w:val="auto"/>
          <w:sz w:val="24"/>
          <w:szCs w:val="24"/>
        </w:rPr>
        <w:t>（四）申诉注意事项</w:t>
      </w:r>
      <w:r>
        <w:rPr>
          <w:color w:val="auto"/>
        </w:rPr>
        <w:tab/>
      </w:r>
      <w:r>
        <w:rPr>
          <w:color w:val="auto"/>
        </w:rPr>
        <w:fldChar w:fldCharType="begin"/>
      </w:r>
      <w:r>
        <w:rPr>
          <w:color w:val="auto"/>
        </w:rPr>
        <w:instrText xml:space="preserve"> PAGEREF _Toc70495113 \h </w:instrText>
      </w:r>
      <w:r>
        <w:rPr>
          <w:color w:val="auto"/>
        </w:rPr>
        <w:fldChar w:fldCharType="separate"/>
      </w:r>
      <w:r>
        <w:rPr>
          <w:color w:val="auto"/>
        </w:rPr>
        <w:t>21</w:t>
      </w:r>
      <w:r>
        <w:rPr>
          <w:color w:val="auto"/>
        </w:rPr>
        <w:fldChar w:fldCharType="end"/>
      </w:r>
      <w:r>
        <w:rPr>
          <w:color w:val="auto"/>
        </w:rPr>
        <w:fldChar w:fldCharType="end"/>
      </w:r>
    </w:p>
    <w:p>
      <w:pPr>
        <w:pStyle w:val="7"/>
        <w:keepNext w:val="0"/>
        <w:keepLines w:val="0"/>
        <w:pageBreakBefore w:val="0"/>
        <w:widowControl w:val="0"/>
        <w:tabs>
          <w:tab w:val="right" w:leader="dot" w:pos="8834"/>
        </w:tabs>
        <w:kinsoku/>
        <w:wordWrap/>
        <w:overflowPunct/>
        <w:topLinePunct w:val="0"/>
        <w:autoSpaceDE/>
        <w:autoSpaceDN/>
        <w:bidi w:val="0"/>
        <w:snapToGrid w:val="0"/>
        <w:spacing w:line="560" w:lineRule="exact"/>
        <w:ind w:left="0" w:leftChars="0"/>
        <w:textAlignment w:val="auto"/>
        <w:rPr>
          <w:color w:val="auto"/>
        </w:rPr>
      </w:pPr>
      <w:r>
        <w:rPr>
          <w:color w:val="auto"/>
        </w:rPr>
        <w:fldChar w:fldCharType="begin"/>
      </w:r>
      <w:r>
        <w:rPr>
          <w:color w:val="auto"/>
        </w:rPr>
        <w:instrText xml:space="preserve"> HYPERLINK \l "_Toc70495114" </w:instrText>
      </w:r>
      <w:r>
        <w:rPr>
          <w:color w:val="auto"/>
        </w:rPr>
        <w:fldChar w:fldCharType="separate"/>
      </w:r>
      <w:r>
        <w:rPr>
          <w:rStyle w:val="12"/>
          <w:rFonts w:hint="eastAsia" w:ascii="黑体" w:hAnsi="黑体" w:eastAsia="黑体"/>
          <w:b w:val="0"/>
          <w:bCs w:val="0"/>
          <w:color w:val="auto"/>
          <w:sz w:val="24"/>
          <w:szCs w:val="24"/>
        </w:rPr>
        <w:t>十</w:t>
      </w:r>
      <w:r>
        <w:rPr>
          <w:rStyle w:val="12"/>
          <w:rFonts w:hint="eastAsia" w:ascii="黑体" w:hAnsi="黑体" w:eastAsia="黑体"/>
          <w:b w:val="0"/>
          <w:bCs w:val="0"/>
          <w:color w:val="auto"/>
          <w:sz w:val="24"/>
          <w:szCs w:val="24"/>
          <w:lang w:val="en-US" w:eastAsia="zh-CN"/>
        </w:rPr>
        <w:t>七</w:t>
      </w:r>
      <w:r>
        <w:rPr>
          <w:rStyle w:val="12"/>
          <w:rFonts w:hint="eastAsia" w:ascii="黑体" w:hAnsi="黑体" w:eastAsia="黑体"/>
          <w:b w:val="0"/>
          <w:bCs w:val="0"/>
          <w:color w:val="auto"/>
          <w:sz w:val="24"/>
          <w:szCs w:val="24"/>
        </w:rPr>
        <w:t>、疫情防控要求</w:t>
      </w:r>
      <w:r>
        <w:rPr>
          <w:color w:val="auto"/>
        </w:rPr>
        <w:tab/>
      </w:r>
      <w:r>
        <w:rPr>
          <w:color w:val="auto"/>
        </w:rPr>
        <w:fldChar w:fldCharType="begin"/>
      </w:r>
      <w:r>
        <w:rPr>
          <w:color w:val="auto"/>
        </w:rPr>
        <w:instrText xml:space="preserve"> PAGEREF _Toc70495114 \h </w:instrText>
      </w:r>
      <w:r>
        <w:rPr>
          <w:color w:val="auto"/>
        </w:rPr>
        <w:fldChar w:fldCharType="separate"/>
      </w:r>
      <w:r>
        <w:rPr>
          <w:color w:val="auto"/>
        </w:rPr>
        <w:t>21</w:t>
      </w:r>
      <w:r>
        <w:rPr>
          <w:color w:val="auto"/>
        </w:rPr>
        <w:fldChar w:fldCharType="end"/>
      </w:r>
      <w:r>
        <w:rPr>
          <w:color w:val="auto"/>
        </w:rPr>
        <w:fldChar w:fldCharType="end"/>
      </w:r>
    </w:p>
    <w:p>
      <w:pPr>
        <w:keepNext w:val="0"/>
        <w:keepLines w:val="0"/>
        <w:pageBreakBefore w:val="0"/>
        <w:widowControl w:val="0"/>
        <w:kinsoku/>
        <w:wordWrap/>
        <w:overflowPunct/>
        <w:topLinePunct w:val="0"/>
        <w:autoSpaceDE/>
        <w:autoSpaceDN/>
        <w:bidi w:val="0"/>
        <w:snapToGrid w:val="0"/>
        <w:spacing w:line="560" w:lineRule="exact"/>
        <w:ind w:left="0" w:leftChars="0"/>
        <w:textAlignment w:val="auto"/>
        <w:rPr>
          <w:rFonts w:ascii="仿宋" w:hAnsi="仿宋" w:eastAsia="仿宋" w:cs="仿宋"/>
          <w:color w:val="auto"/>
          <w:sz w:val="24"/>
          <w:szCs w:val="24"/>
        </w:rPr>
        <w:sectPr>
          <w:footerReference r:id="rId3" w:type="default"/>
          <w:pgSz w:w="11906" w:h="16838"/>
          <w:pgMar w:top="2098" w:right="1474" w:bottom="1984" w:left="1587" w:header="851" w:footer="992" w:gutter="0"/>
          <w:pgNumType w:start="1"/>
          <w:cols w:space="0" w:num="1"/>
          <w:rtlGutter w:val="0"/>
          <w:docGrid w:type="lines" w:linePitch="312" w:charSpace="0"/>
        </w:sectPr>
      </w:pPr>
      <w:r>
        <w:rPr>
          <w:rFonts w:ascii="仿宋" w:hAnsi="仿宋" w:eastAsia="仿宋" w:cs="仿宋"/>
          <w:color w:val="auto"/>
          <w:sz w:val="24"/>
          <w:szCs w:val="24"/>
        </w:rPr>
        <w:fldChar w:fldCharType="end"/>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仅适用于厦门市</w:t>
      </w:r>
      <w:r>
        <w:rPr>
          <w:rFonts w:hint="eastAsia" w:ascii="仿宋_GB2312" w:hAnsi="仿宋_GB2312" w:eastAsia="仿宋_GB2312" w:cs="仿宋_GB2312"/>
          <w:color w:val="auto"/>
          <w:sz w:val="32"/>
          <w:szCs w:val="32"/>
          <w:lang w:val="en-US" w:eastAsia="zh-CN"/>
        </w:rPr>
        <w:t>翔</w:t>
      </w:r>
      <w:r>
        <w:rPr>
          <w:rFonts w:hint="eastAsia" w:ascii="仿宋_GB2312" w:hAnsi="仿宋_GB2312" w:eastAsia="仿宋_GB2312" w:cs="仿宋_GB2312"/>
          <w:color w:val="auto"/>
          <w:sz w:val="32"/>
          <w:szCs w:val="32"/>
        </w:rPr>
        <w:t>安区所属卫生事业单位招聘编内工作人员考试（202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月），由厦门市</w:t>
      </w:r>
      <w:r>
        <w:rPr>
          <w:rFonts w:hint="eastAsia" w:ascii="仿宋_GB2312" w:hAnsi="仿宋_GB2312" w:eastAsia="仿宋_GB2312" w:cs="仿宋_GB2312"/>
          <w:color w:val="auto"/>
          <w:sz w:val="32"/>
          <w:szCs w:val="32"/>
          <w:lang w:val="en-US" w:eastAsia="zh-CN"/>
        </w:rPr>
        <w:t>翔</w:t>
      </w:r>
      <w:r>
        <w:rPr>
          <w:rFonts w:hint="eastAsia" w:ascii="仿宋_GB2312" w:hAnsi="仿宋_GB2312" w:eastAsia="仿宋_GB2312" w:cs="仿宋_GB2312"/>
          <w:color w:val="auto"/>
          <w:sz w:val="32"/>
          <w:szCs w:val="32"/>
        </w:rPr>
        <w:t>安区人力资源和社会保障局（以下简称“区人社局”）负责解释。</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1" w:name="_Toc70495066"/>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基本条件</w:t>
      </w:r>
      <w:bookmarkEnd w:id="1"/>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2" w:name="_Toc29243_WPSOffice_Level2"/>
      <w:bookmarkStart w:id="3" w:name="_Toc19262_WPSOffice_Level2"/>
      <w:bookmarkStart w:id="4" w:name="_Toc9119_WPSOffice_Level2"/>
      <w:bookmarkStart w:id="5" w:name="_Toc17638_WPSOffice_Level2"/>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具有中华人民共和国国籍；</w:t>
      </w:r>
      <w:bookmarkEnd w:id="2"/>
      <w:bookmarkEnd w:id="3"/>
      <w:bookmarkEnd w:id="4"/>
      <w:bookmarkEnd w:id="5"/>
      <w:bookmarkStart w:id="6" w:name="_Toc11941_WPSOffice_Level2"/>
      <w:bookmarkStart w:id="7" w:name="_Toc4207_WPSOffice_Level2"/>
      <w:bookmarkStart w:id="8" w:name="_Toc12392_WPSOffice_Level2"/>
      <w:bookmarkStart w:id="9" w:name="_Toc17350_WPSOffice_Level2"/>
    </w:p>
    <w:bookmarkEnd w:id="6"/>
    <w:bookmarkEnd w:id="7"/>
    <w:bookmarkEnd w:id="8"/>
    <w:bookmarkEnd w:id="9"/>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10" w:name="_Toc6014_WPSOffice_Level2"/>
      <w:bookmarkStart w:id="11" w:name="_Toc9634_WPSOffice_Level2"/>
      <w:bookmarkStart w:id="12" w:name="_Toc20094_WPSOffice_Level2"/>
      <w:bookmarkStart w:id="13" w:name="_Toc7847_WPSOffice_Level2"/>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拥护中华人民共和国宪法,拥护中国共产党领导和社会主义制度；</w:t>
      </w:r>
      <w:bookmarkEnd w:id="10"/>
      <w:bookmarkEnd w:id="11"/>
      <w:bookmarkEnd w:id="12"/>
      <w:bookmarkEnd w:id="13"/>
      <w:bookmarkStart w:id="14" w:name="_Toc30877_WPSOffice_Level2"/>
      <w:bookmarkStart w:id="15" w:name="_Toc27016_WPSOffice_Level2"/>
      <w:bookmarkStart w:id="16" w:name="_Toc13849_WPSOffice_Level2"/>
      <w:bookmarkStart w:id="17" w:name="_Toc6870_WPSOffice_Level2"/>
      <w:r>
        <w:rPr>
          <w:rFonts w:hint="eastAsia" w:ascii="仿宋_GB2312" w:hAnsi="仿宋_GB2312" w:eastAsia="仿宋_GB2312" w:cs="仿宋_GB2312"/>
          <w:color w:val="auto"/>
          <w:sz w:val="32"/>
          <w:szCs w:val="32"/>
        </w:rPr>
        <w:t xml:space="preserve"> </w:t>
      </w:r>
    </w:p>
    <w:bookmarkEnd w:id="14"/>
    <w:bookmarkEnd w:id="15"/>
    <w:bookmarkEnd w:id="16"/>
    <w:bookmarkEnd w:id="17"/>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18" w:name="_Toc4758_WPSOffice_Level2"/>
      <w:bookmarkStart w:id="19" w:name="_Toc10788_WPSOffice_Level2"/>
      <w:bookmarkStart w:id="20" w:name="_Toc26060_WPSOffice_Level2"/>
      <w:bookmarkStart w:id="21" w:name="_Toc19929_WPSOffice_Level2"/>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具有良好的政治素质和道德品行，具有正常履行职责的身心条件；</w:t>
      </w:r>
    </w:p>
    <w:bookmarkEnd w:id="18"/>
    <w:bookmarkEnd w:id="19"/>
    <w:bookmarkEnd w:id="20"/>
    <w:bookmarkEnd w:id="21"/>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（四）18周岁以上、35周岁以下（在198</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22" w:name="_Toc70495067"/>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不得报考或取消报考（聘用）资格的情形</w:t>
      </w:r>
      <w:bookmarkEnd w:id="22"/>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（一）曾因犯罪受过刑事处罚的；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eastAsia="仿宋_GB2312"/>
          <w:color w:val="auto"/>
          <w:sz w:val="32"/>
          <w:szCs w:val="32"/>
          <w:highlight w:val="none"/>
        </w:rPr>
        <w:t>曾被开除公职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rPr>
        <w:t>（三）</w:t>
      </w:r>
      <w:r>
        <w:rPr>
          <w:rFonts w:hint="eastAsia" w:ascii="仿宋_GB2312" w:eastAsia="仿宋_GB2312"/>
          <w:color w:val="auto"/>
          <w:sz w:val="32"/>
          <w:szCs w:val="32"/>
          <w:highlight w:val="none"/>
          <w:lang w:val="en-US" w:eastAsia="zh-CN"/>
        </w:rPr>
        <w:t>被依法列为失信联合惩戒对象的；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（四）在各级公务员或事业单位招考中被认定有舞弊等严重违反录(聘)用纪律行为的；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highlight w:val="none"/>
        </w:rPr>
        <w:t>公务员或参照公务员法管理机关（单位）工作人员（以下简称“参公人员”）被辞退未满5年的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en-US" w:eastAsia="zh-CN"/>
        </w:rPr>
        <w:t>试用期内的公务员或参公人员；未达到与当地公务员主管部门或单位组织人事部门约定服务年限的公务员和参公人员</w:t>
      </w:r>
      <w:r>
        <w:rPr>
          <w:rFonts w:hint="eastAsia" w:ascii="仿宋_GB2312" w:eastAsia="仿宋_GB2312"/>
          <w:strike w:val="0"/>
          <w:dstrike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年及以后才学业期满的全日制普通教育学生）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w:t>
      </w:r>
      <w:r>
        <w:rPr>
          <w:rFonts w:hint="eastAsia" w:ascii="仿宋_GB2312" w:eastAsia="仿宋_GB2312"/>
          <w:color w:val="auto"/>
          <w:sz w:val="32"/>
          <w:szCs w:val="32"/>
          <w:highlight w:val="none"/>
        </w:rPr>
        <w:t>涉嫌违法犯罪正在接受司法调查尚未做出结论的，</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尚未解除党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纪处分</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或正在接受纪律审查的</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聘用后即构成应回避关系的；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（十一）工作期间曾发生医疗事故负有主要责任的；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（十二）法律法规规章规定不得聘为事业单位人员的。 </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福建省内机关、事业单位、公立医疗卫生机构工作人员须征得所在单位同意方可报名，并须在面试资格复核时提供所在单位同意报考书面证明；确有实际困难的，经招聘单位及其主管部门同意，可在体检或考察时提供同意报考证明。 </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23" w:name="_Toc70495068"/>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选报岗位</w:t>
      </w:r>
      <w:bookmarkEnd w:id="2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24" w:name="_Toc70495069"/>
      <w:r>
        <w:rPr>
          <w:rFonts w:hint="eastAsia" w:ascii="楷体_GB2312" w:hAnsi="楷体_GB2312" w:eastAsia="楷体_GB2312" w:cs="楷体_GB2312"/>
          <w:b w:val="0"/>
          <w:bCs/>
          <w:color w:val="auto"/>
          <w:sz w:val="32"/>
          <w:szCs w:val="32"/>
        </w:rPr>
        <w:t>（一）报考资格条件确认</w:t>
      </w:r>
      <w:bookmarkEnd w:id="2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highlight w:val="none"/>
        </w:rPr>
        <w:t>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条件</w:t>
      </w:r>
      <w:r>
        <w:rPr>
          <w:rFonts w:hint="eastAsia" w:ascii="仿宋_GB2312" w:hAnsi="仿宋_GB2312" w:eastAsia="仿宋_GB2312" w:cs="仿宋_GB2312"/>
          <w:color w:val="auto"/>
          <w:sz w:val="32"/>
          <w:szCs w:val="32"/>
        </w:rPr>
        <w:t xml:space="preserve">。 </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u w:val="none"/>
        </w:rPr>
        <w:t>每名报考者只能报考1个岗位，通过资格初审后不得更改，并以通过资格初审的岗位参加考试。</w:t>
      </w:r>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rPr>
        <w:t>3.各岗位报名人数统计每天24:00更新一次，</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24</w:t>
      </w:r>
      <w:r>
        <w:rPr>
          <w:rFonts w:hint="eastAsia" w:ascii="仿宋_GB2312" w:hAnsi="仿宋_GB2312" w:eastAsia="仿宋_GB2312" w:cs="仿宋_GB2312"/>
          <w:b w:val="0"/>
          <w:bCs w:val="0"/>
          <w:color w:val="auto"/>
          <w:sz w:val="32"/>
          <w:szCs w:val="32"/>
          <w:u w:val="none"/>
        </w:rPr>
        <w:t>日24:00起不再更新</w:t>
      </w:r>
      <w:r>
        <w:rPr>
          <w:rFonts w:hint="eastAsia" w:ascii="仿宋_GB2312" w:eastAsia="仿宋_GB2312"/>
          <w:color w:val="auto"/>
          <w:sz w:val="32"/>
          <w:szCs w:val="32"/>
          <w:highlight w:val="none"/>
          <w:lang w:val="en-US" w:eastAsia="zh-CN"/>
        </w:rPr>
        <w:t>，各岗位最终报名人数以报名资格审核后正式公告为准</w:t>
      </w:r>
      <w:r>
        <w:rPr>
          <w:rFonts w:hint="eastAsia" w:ascii="仿宋_GB2312" w:hAnsi="仿宋_GB2312" w:eastAsia="仿宋_GB2312" w:cs="仿宋_GB2312"/>
          <w:b w:val="0"/>
          <w:bCs w:val="0"/>
          <w:color w:val="auto"/>
          <w:sz w:val="32"/>
          <w:szCs w:val="32"/>
        </w:rPr>
        <w:t>。</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rPr>
      </w:pPr>
      <w:bookmarkStart w:id="25" w:name="_Toc70495070"/>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val="0"/>
          <w:color w:val="auto"/>
          <w:sz w:val="32"/>
          <w:szCs w:val="32"/>
        </w:rPr>
        <w:t>照片要求</w:t>
      </w:r>
      <w:bookmarkEnd w:id="25"/>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请提交近期正面免冠二寸彩色数码证件照（jpg格式，规格200K以下）。</w:t>
      </w:r>
    </w:p>
    <w:p>
      <w:pPr>
        <w:keepNext w:val="0"/>
        <w:keepLines w:val="0"/>
        <w:pageBreakBefore w:val="0"/>
        <w:widowControl w:val="0"/>
        <w:shd w:val="clear" w:color="auto"/>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lang w:eastAsia="zh-CN"/>
        </w:rPr>
        <w:t>难以清晰辨认的。</w:t>
      </w:r>
    </w:p>
    <w:p>
      <w:pPr>
        <w:keepNext w:val="0"/>
        <w:keepLines w:val="0"/>
        <w:pageBreakBefore w:val="0"/>
        <w:widowControl w:val="0"/>
        <w:shd w:val="clear"/>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26" w:name="_Toc70495071"/>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）个人简历</w:t>
      </w:r>
      <w:bookmarkEnd w:id="2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bCs/>
          <w:color w:val="auto"/>
          <w:sz w:val="32"/>
          <w:szCs w:val="32"/>
          <w:highlight w:val="none"/>
          <w:lang w:eastAsia="zh-CN"/>
        </w:rPr>
      </w:pPr>
      <w:bookmarkStart w:id="27" w:name="_Toc11175"/>
      <w:bookmarkStart w:id="28" w:name="_Toc28349"/>
      <w:bookmarkStart w:id="29" w:name="_Toc4830"/>
      <w:bookmarkStart w:id="30" w:name="_Toc29293"/>
      <w:bookmarkStart w:id="3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27"/>
      <w:bookmarkEnd w:id="2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29"/>
      <w:bookmarkEnd w:id="30"/>
      <w:bookmarkEnd w:id="3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2" w:name="_Toc70495072"/>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）回避情形</w:t>
      </w:r>
      <w:bookmarkEnd w:id="32"/>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1.夫妻关系;</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2.直系血亲关系，包括祖父母、外祖父母、父母、子女、孙子女、外孙子女;</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所称直接上下级领导关系包括：</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1.领导班子正职与副职;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2.同一内设机构正职与副职;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3.上级正职、副职与下级正职;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5.内设机构无下一级单位的，其正职、副职与其他管理人员以及从事审计、财务工作的专业技术人员。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从事招聘工作的人员存在应当回避情形的，须实行履职回避。</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3" w:name="_Toc7049507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年龄、资格（历）等的计算办法</w:t>
      </w:r>
      <w:bookmarkEnd w:id="3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u w:val="none"/>
        </w:rPr>
      </w:pPr>
      <w:r>
        <w:rPr>
          <w:rFonts w:hint="eastAsia" w:ascii="仿宋_GB2312" w:eastAsia="仿宋_GB2312"/>
          <w:color w:val="auto"/>
          <w:sz w:val="32"/>
          <w:szCs w:val="32"/>
          <w:u w:val="none"/>
          <w:lang w:eastAsia="zh-CN"/>
        </w:rPr>
        <w:t>如无特别说明，</w:t>
      </w:r>
      <w:r>
        <w:rPr>
          <w:rFonts w:hint="eastAsia" w:ascii="仿宋_GB2312" w:eastAsia="仿宋_GB2312"/>
          <w:color w:val="auto"/>
          <w:sz w:val="32"/>
          <w:szCs w:val="32"/>
          <w:highlight w:val="none"/>
          <w:u w:val="none"/>
          <w:lang w:eastAsia="zh-CN"/>
        </w:rPr>
        <w:t>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报名截止当月，即2022年4月</w:t>
      </w:r>
      <w:r>
        <w:rPr>
          <w:rFonts w:hint="eastAsia" w:ascii="仿宋_GB2312" w:hAnsi="仿宋_GB2312" w:eastAsia="仿宋_GB2312" w:cs="仿宋_GB2312"/>
          <w:b w:val="0"/>
          <w:bCs/>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年龄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最高年龄要求35周岁是指18周岁以上、35周岁以下</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在1986年4月至2004年4月期间出生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其他年龄要求</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rPr>
        <w:t>此类推。</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）资格（历）等</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岗位资格条件、《简章》和《报考</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》要求具有××条件以上的，如无特别说明，均含本数。如：具有2年以上工作经</w:t>
      </w:r>
      <w:r>
        <w:rPr>
          <w:rFonts w:hint="eastAsia" w:ascii="仿宋_GB2312" w:hAnsi="仿宋_GB2312" w:eastAsia="仿宋_GB2312" w:cs="仿宋_GB2312"/>
          <w:color w:val="auto"/>
          <w:sz w:val="32"/>
          <w:szCs w:val="32"/>
          <w:lang w:eastAsia="zh-CN"/>
        </w:rPr>
        <w:t>验</w:t>
      </w:r>
      <w:r>
        <w:rPr>
          <w:rFonts w:hint="eastAsia" w:ascii="仿宋_GB2312" w:hAnsi="仿宋_GB2312" w:eastAsia="仿宋_GB2312" w:cs="仿宋_GB2312"/>
          <w:color w:val="auto"/>
          <w:sz w:val="32"/>
          <w:szCs w:val="32"/>
        </w:rPr>
        <w:t>，指截至报名截止当月具有2年或2年以上工作经</w:t>
      </w:r>
      <w:r>
        <w:rPr>
          <w:rFonts w:hint="eastAsia" w:ascii="仿宋_GB2312" w:hAnsi="仿宋_GB2312" w:eastAsia="仿宋_GB2312" w:cs="仿宋_GB2312"/>
          <w:color w:val="auto"/>
          <w:sz w:val="32"/>
          <w:szCs w:val="32"/>
          <w:lang w:eastAsia="zh-CN"/>
        </w:rPr>
        <w:t>验</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4" w:name="_Toc70495074"/>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学历（位）认定</w:t>
      </w:r>
      <w:bookmarkEnd w:id="3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（一）境内学历（位）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eastAsia="zh-CN"/>
        </w:rPr>
        <w:t>符合报考专业要求的</w:t>
      </w:r>
      <w:r>
        <w:rPr>
          <w:rFonts w:hint="eastAsia" w:ascii="仿宋_GB2312" w:eastAsia="仿宋_GB2312"/>
          <w:color w:val="auto"/>
          <w:sz w:val="32"/>
          <w:szCs w:val="32"/>
          <w:highlight w:val="none"/>
          <w:u w:val="none"/>
        </w:rPr>
        <w:t>学位，应在中国学位与研究生教育信息网（简称“学位网”，http://www.cdgdc.edu.cn/）上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（二）境外学历（位）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w:t>
      </w:r>
      <w:r>
        <w:rPr>
          <w:rFonts w:hint="eastAsia" w:ascii="仿宋_GB2312" w:eastAsia="仿宋_GB2312"/>
          <w:color w:val="auto"/>
          <w:sz w:val="32"/>
          <w:szCs w:val="32"/>
          <w:highlight w:val="none"/>
          <w:u w:val="none"/>
          <w:lang w:eastAsia="zh-CN"/>
        </w:rPr>
        <w:t>等</w:t>
      </w:r>
      <w:r>
        <w:rPr>
          <w:rFonts w:hint="eastAsia" w:ascii="仿宋_GB2312" w:eastAsia="仿宋_GB2312"/>
          <w:color w:val="auto"/>
          <w:sz w:val="32"/>
          <w:szCs w:val="32"/>
          <w:highlight w:val="none"/>
          <w:u w:val="none"/>
        </w:rPr>
        <w:t>有关证明材料。</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）我省“双学位”“双专业”学历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560" w:lineRule="exact"/>
        <w:ind w:left="0" w:leftChars="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）提醒事项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2.2022届毕业生和持国（境）外学历（位）者在岗位资格复核时需提交或书面承诺于2022年12月31日前取得并能提供符合岗位报考条件的相应学历(位)证书及其认证材料，否则视为自动放弃考试（聘用）资格</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rPr>
      </w:pPr>
      <w:bookmarkStart w:id="35" w:name="_Toc70495075"/>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专业</w:t>
      </w:r>
      <w:bookmarkEnd w:id="35"/>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bdr w:val="single" w:color="auto"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6" w:name="_Toc70495076"/>
      <w:r>
        <w:rPr>
          <w:rFonts w:hint="eastAsia" w:ascii="楷体_GB2312" w:hAnsi="楷体_GB2312" w:eastAsia="楷体_GB2312" w:cs="楷体_GB2312"/>
          <w:b w:val="0"/>
          <w:bCs/>
          <w:color w:val="auto"/>
          <w:sz w:val="32"/>
          <w:szCs w:val="32"/>
        </w:rPr>
        <w:t>（一）填报专业名称</w:t>
      </w:r>
      <w:bookmarkEnd w:id="36"/>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bdr w:val="single" w:color="auto" w:sz="4" w:space="0"/>
        </w:rPr>
      </w:pPr>
      <w:r>
        <w:rPr>
          <w:rFonts w:hint="eastAsia" w:ascii="仿宋_GB2312" w:hAnsi="仿宋_GB2312" w:eastAsia="仿宋_GB2312" w:cs="仿宋_GB2312"/>
          <w:color w:val="auto"/>
          <w:sz w:val="32"/>
          <w:szCs w:val="32"/>
        </w:rPr>
        <w:t>报考者应</w:t>
      </w:r>
      <w:r>
        <w:rPr>
          <w:rFonts w:hint="eastAsia" w:ascii="仿宋_GB2312" w:hAnsi="仿宋_GB2312" w:eastAsia="仿宋_GB2312" w:cs="仿宋_GB2312"/>
          <w:color w:val="auto"/>
          <w:sz w:val="32"/>
          <w:szCs w:val="32"/>
          <w:lang w:eastAsia="zh-CN"/>
        </w:rPr>
        <w:t>严格按照所持</w:t>
      </w:r>
      <w:r>
        <w:rPr>
          <w:rFonts w:hint="eastAsia" w:ascii="仿宋_GB2312" w:hAnsi="仿宋_GB2312" w:eastAsia="仿宋_GB2312" w:cs="仿宋_GB2312"/>
          <w:color w:val="auto"/>
          <w:sz w:val="32"/>
          <w:szCs w:val="32"/>
        </w:rPr>
        <w:t>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认证报告</w:t>
      </w:r>
      <w:r>
        <w:rPr>
          <w:rFonts w:hint="eastAsia" w:ascii="仿宋_GB2312" w:hAnsi="仿宋_GB2312" w:eastAsia="仿宋_GB2312" w:cs="仿宋_GB2312"/>
          <w:color w:val="auto"/>
          <w:sz w:val="32"/>
          <w:szCs w:val="32"/>
          <w:lang w:eastAsia="zh-CN"/>
        </w:rPr>
        <w:t>）上内容</w:t>
      </w:r>
      <w:r>
        <w:rPr>
          <w:rFonts w:hint="eastAsia" w:ascii="仿宋_GB2312" w:hAnsi="仿宋_GB2312" w:eastAsia="仿宋_GB2312" w:cs="仿宋_GB2312"/>
          <w:color w:val="auto"/>
          <w:sz w:val="32"/>
          <w:szCs w:val="32"/>
        </w:rPr>
        <w:t>只字不差、如实填写所学专业。</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全日制普通教育学历所学专业以毕业证书为准，非全日制普通教育和</w:t>
      </w:r>
      <w:r>
        <w:rPr>
          <w:rFonts w:hint="eastAsia" w:ascii="仿宋_GB2312" w:hAnsi="仿宋_GB2312" w:eastAsia="仿宋_GB2312" w:cs="仿宋_GB2312"/>
          <w:color w:val="auto"/>
          <w:sz w:val="32"/>
          <w:szCs w:val="32"/>
          <w:lang w:eastAsia="zh-CN"/>
        </w:rPr>
        <w:t>国（境）外</w:t>
      </w:r>
      <w:r>
        <w:rPr>
          <w:rFonts w:hint="eastAsia" w:ascii="仿宋_GB2312" w:hAnsi="仿宋_GB2312" w:eastAsia="仿宋_GB2312" w:cs="仿宋_GB2312"/>
          <w:color w:val="auto"/>
          <w:sz w:val="32"/>
          <w:szCs w:val="32"/>
        </w:rPr>
        <w:t>学历（位）以教育部学历（位）认证部门出具的认证报告为准。</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outlineLvl w:val="1"/>
        <w:rPr>
          <w:rFonts w:hint="eastAsia" w:ascii="楷体_GB2312" w:hAnsi="楷体_GB2312" w:eastAsia="楷体_GB2312" w:cs="楷体_GB2312"/>
          <w:b w:val="0"/>
          <w:bCs/>
          <w:color w:val="auto"/>
          <w:sz w:val="32"/>
          <w:szCs w:val="32"/>
        </w:rPr>
      </w:pPr>
      <w:bookmarkStart w:id="37" w:name="_Toc70495077"/>
      <w:r>
        <w:rPr>
          <w:rFonts w:hint="eastAsia" w:ascii="楷体_GB2312" w:hAnsi="楷体_GB2312" w:eastAsia="楷体_GB2312" w:cs="楷体_GB2312"/>
          <w:b w:val="0"/>
          <w:bCs/>
          <w:color w:val="auto"/>
          <w:sz w:val="32"/>
          <w:szCs w:val="32"/>
        </w:rPr>
        <w:t>（二）专业与学历（位）的对应关系</w:t>
      </w:r>
      <w:bookmarkEnd w:id="37"/>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38" w:name="_Toc70495078"/>
      <w:r>
        <w:rPr>
          <w:rFonts w:hint="eastAsia" w:ascii="楷体_GB2312" w:hAnsi="楷体_GB2312" w:eastAsia="楷体_GB2312" w:cs="楷体_GB2312"/>
          <w:b w:val="0"/>
          <w:bCs w:val="0"/>
          <w:color w:val="auto"/>
          <w:sz w:val="32"/>
          <w:szCs w:val="32"/>
          <w:u w:val="none"/>
        </w:rPr>
        <w:t>（三）专业资格的认定</w:t>
      </w:r>
      <w:bookmarkEnd w:id="38"/>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专业要求“临床医学”专业的，含“临床医学”或“临床医学硕士”或“临床医学博士”，其他专业以此类推。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若报考者所学专业不在《专业指导目录》中，报考者须提供学历证、学位证、主干课程成绩表、论文发表情况、学校证明等有效凭证，由</w:t>
      </w:r>
      <w:r>
        <w:rPr>
          <w:rFonts w:hint="eastAsia" w:ascii="仿宋_GB2312" w:hAnsi="仿宋_GB2312" w:eastAsia="仿宋_GB2312" w:cs="仿宋_GB2312"/>
          <w:b w:val="0"/>
          <w:bCs w:val="0"/>
          <w:color w:val="auto"/>
          <w:sz w:val="32"/>
          <w:szCs w:val="32"/>
          <w:u w:val="none"/>
          <w:lang w:eastAsia="zh-CN"/>
        </w:rPr>
        <w:t>招聘单位</w:t>
      </w:r>
      <w:r>
        <w:rPr>
          <w:rFonts w:hint="eastAsia" w:ascii="仿宋_GB2312" w:hAnsi="仿宋_GB2312" w:eastAsia="仿宋_GB2312" w:cs="仿宋_GB2312"/>
          <w:b w:val="0"/>
          <w:bCs w:val="0"/>
          <w:color w:val="auto"/>
          <w:sz w:val="32"/>
          <w:szCs w:val="32"/>
          <w:u w:val="none"/>
        </w:rPr>
        <w:t>会同主管部门负责认定。报考者所学专业</w:t>
      </w:r>
      <w:r>
        <w:rPr>
          <w:rFonts w:hint="eastAsia" w:ascii="仿宋_GB2312" w:hAnsi="仿宋_GB2312" w:eastAsia="仿宋_GB2312" w:cs="仿宋_GB2312"/>
          <w:b w:val="0"/>
          <w:bCs w:val="0"/>
          <w:color w:val="auto"/>
          <w:sz w:val="32"/>
          <w:szCs w:val="32"/>
          <w:u w:val="none"/>
          <w:lang w:eastAsia="zh-CN"/>
        </w:rPr>
        <w:t>只字不差体现</w:t>
      </w:r>
      <w:r>
        <w:rPr>
          <w:rFonts w:hint="eastAsia" w:ascii="仿宋_GB2312" w:hAnsi="仿宋_GB2312" w:eastAsia="仿宋_GB2312" w:cs="仿宋_GB2312"/>
          <w:b w:val="0"/>
          <w:bCs w:val="0"/>
          <w:color w:val="auto"/>
          <w:sz w:val="32"/>
          <w:szCs w:val="32"/>
          <w:u w:val="none"/>
        </w:rPr>
        <w:t>在《专业指导目录》中，但未列入招聘岗位所要求的专业，不得报考该岗位。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经与招</w:t>
      </w:r>
      <w:r>
        <w:rPr>
          <w:rFonts w:hint="eastAsia" w:ascii="仿宋_GB2312" w:hAnsi="仿宋_GB2312" w:eastAsia="仿宋_GB2312" w:cs="仿宋_GB2312"/>
          <w:b w:val="0"/>
          <w:bCs w:val="0"/>
          <w:color w:val="auto"/>
          <w:sz w:val="32"/>
          <w:szCs w:val="32"/>
          <w:u w:val="none"/>
          <w:lang w:eastAsia="zh-CN"/>
        </w:rPr>
        <w:t>聘</w:t>
      </w:r>
      <w:r>
        <w:rPr>
          <w:rFonts w:hint="eastAsia" w:ascii="仿宋_GB2312" w:hAnsi="仿宋_GB2312" w:eastAsia="仿宋_GB2312" w:cs="仿宋_GB2312"/>
          <w:b w:val="0"/>
          <w:bCs w:val="0"/>
          <w:color w:val="auto"/>
          <w:sz w:val="32"/>
          <w:szCs w:val="32"/>
          <w:u w:val="none"/>
        </w:rPr>
        <w:t>单位沟通，若报考者对专业资格审查结果仍有异议的，可在规定期限内及时通过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报名系统</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的申诉通道提出申诉。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39" w:name="_Toc70495079"/>
      <w:r>
        <w:rPr>
          <w:rFonts w:hint="eastAsia" w:ascii="黑体" w:hAnsi="黑体" w:eastAsia="黑体" w:cs="黑体"/>
          <w:b w:val="0"/>
          <w:bCs w:val="0"/>
          <w:color w:val="auto"/>
          <w:sz w:val="32"/>
          <w:szCs w:val="32"/>
          <w:u w:val="none"/>
          <w:lang w:val="en-US" w:eastAsia="zh-CN"/>
        </w:rPr>
        <w:t>七、</w:t>
      </w:r>
      <w:r>
        <w:rPr>
          <w:rFonts w:hint="eastAsia" w:ascii="黑体" w:hAnsi="黑体" w:eastAsia="黑体" w:cs="黑体"/>
          <w:b w:val="0"/>
          <w:bCs w:val="0"/>
          <w:color w:val="auto"/>
          <w:sz w:val="32"/>
          <w:szCs w:val="32"/>
          <w:u w:val="none"/>
        </w:rPr>
        <w:t>工作经验</w:t>
      </w:r>
      <w:bookmarkEnd w:id="3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岗位资格条件要求的“专业工作经验”，应聘人员须提供养老保险缴费凭证或工资发放表等有效凭证、聘用(劳动)合同和所在单位出具的符合岗位条件要求的相关岗位的工作情况证明。全日制普通教育毕业生参加</w:t>
      </w:r>
      <w:r>
        <w:rPr>
          <w:rFonts w:hint="eastAsia" w:ascii="仿宋_GB2312" w:hAnsi="仿宋_GB2312" w:eastAsia="仿宋_GB2312" w:cs="仿宋_GB2312"/>
          <w:b w:val="0"/>
          <w:bCs w:val="0"/>
          <w:color w:val="auto"/>
          <w:sz w:val="32"/>
          <w:szCs w:val="32"/>
          <w:u w:val="none"/>
          <w:lang w:eastAsia="zh-CN"/>
        </w:rPr>
        <w:t>经人社部门</w:t>
      </w:r>
      <w:r>
        <w:rPr>
          <w:rFonts w:hint="eastAsia" w:ascii="仿宋_GB2312" w:hAnsi="仿宋_GB2312" w:eastAsia="仿宋_GB2312" w:cs="仿宋_GB2312"/>
          <w:b w:val="0"/>
          <w:bCs w:val="0"/>
          <w:color w:val="auto"/>
          <w:sz w:val="32"/>
          <w:szCs w:val="32"/>
          <w:u w:val="none"/>
        </w:rPr>
        <w:t>核定的职业见习，若从事的工作与招聘岗位要求的专业工作经验相关，其毕业后的职业见习年限可视同工作经验年限。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全日制普通教育期间的社会实践经历(含兼职工作等)，不能视为工作经验。</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岗位资格条件要求的工作经验年限可以</w:t>
      </w:r>
      <w:r>
        <w:rPr>
          <w:rFonts w:hint="eastAsia" w:ascii="仿宋_GB2312" w:hAnsi="仿宋_GB2312" w:eastAsia="仿宋_GB2312" w:cs="仿宋_GB2312"/>
          <w:b w:val="0"/>
          <w:bCs w:val="0"/>
          <w:color w:val="auto"/>
          <w:sz w:val="32"/>
          <w:szCs w:val="32"/>
          <w:u w:val="none"/>
          <w:lang w:eastAsia="zh-CN"/>
        </w:rPr>
        <w:t>分段按月</w:t>
      </w:r>
      <w:r>
        <w:rPr>
          <w:rFonts w:hint="eastAsia" w:ascii="仿宋_GB2312" w:hAnsi="仿宋_GB2312" w:eastAsia="仿宋_GB2312" w:cs="仿宋_GB2312"/>
          <w:b w:val="0"/>
          <w:bCs w:val="0"/>
          <w:color w:val="auto"/>
          <w:sz w:val="32"/>
          <w:szCs w:val="32"/>
          <w:u w:val="none"/>
        </w:rPr>
        <w:t>合并计算。不同单位的相同（似）工作经验证明可分别开具，累计计算。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例：岗位要求有2年工作经验，张三工作经验如下：</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 xml:space="preserve">        2019.5.7-2020.6.23在A单位上班 (13个月）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 xml:space="preserve">        2020.7.8-2021.5.12在B单位上班(11个月）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 xml:space="preserve">        累计24个月，满足2年工作经验。</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0" w:name="_Toc70495080"/>
      <w:r>
        <w:rPr>
          <w:rFonts w:hint="eastAsia" w:ascii="黑体" w:hAnsi="黑体" w:eastAsia="黑体" w:cs="黑体"/>
          <w:b w:val="0"/>
          <w:bCs w:val="0"/>
          <w:color w:val="auto"/>
          <w:sz w:val="32"/>
          <w:szCs w:val="32"/>
          <w:u w:val="none"/>
          <w:lang w:val="en-US" w:eastAsia="zh-CN"/>
        </w:rPr>
        <w:t>八、可免笔试情形</w:t>
      </w:r>
      <w:bookmarkEnd w:id="40"/>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免笔试岗位由招聘单位及其主管部门于报名结束后，</w:t>
      </w:r>
      <w:r>
        <w:rPr>
          <w:rFonts w:hint="eastAsia" w:ascii="仿宋_GB2312" w:eastAsia="仿宋_GB2312"/>
          <w:color w:val="auto"/>
          <w:sz w:val="32"/>
          <w:szCs w:val="32"/>
          <w:highlight w:val="none"/>
          <w:lang w:eastAsia="zh-CN"/>
        </w:rPr>
        <w:t>根据具体情况及时</w:t>
      </w:r>
      <w:r>
        <w:rPr>
          <w:rFonts w:hint="eastAsia" w:ascii="仿宋_GB2312" w:hAnsi="仿宋_GB2312" w:eastAsia="仿宋_GB2312" w:cs="仿宋_GB2312"/>
          <w:b w:val="0"/>
          <w:bCs w:val="0"/>
          <w:color w:val="auto"/>
          <w:sz w:val="32"/>
          <w:szCs w:val="32"/>
          <w:u w:val="none"/>
        </w:rPr>
        <w:t>研究提出，经区人社局同意并事前报备</w:t>
      </w:r>
      <w:r>
        <w:rPr>
          <w:rFonts w:hint="eastAsia" w:ascii="仿宋_GB2312" w:hAnsi="仿宋_GB2312" w:eastAsia="仿宋_GB2312" w:cs="仿宋_GB2312"/>
          <w:b w:val="0"/>
          <w:bCs w:val="0"/>
          <w:color w:val="auto"/>
          <w:sz w:val="32"/>
          <w:szCs w:val="32"/>
          <w:u w:val="none"/>
          <w:lang w:val="en-US" w:eastAsia="zh-CN"/>
        </w:rPr>
        <w:t>市人社局</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黑体" w:hAnsi="黑体" w:eastAsia="黑体" w:cs="黑体"/>
          <w:b w:val="0"/>
          <w:bCs w:val="0"/>
          <w:color w:val="auto"/>
          <w:sz w:val="32"/>
          <w:szCs w:val="32"/>
          <w:u w:val="none"/>
          <w:lang w:val="en-US" w:eastAsia="zh-CN"/>
        </w:rPr>
      </w:pPr>
      <w:bookmarkStart w:id="41" w:name="_Toc70495082"/>
      <w:r>
        <w:rPr>
          <w:rFonts w:hint="eastAsia" w:ascii="黑体" w:hAnsi="黑体" w:eastAsia="黑体" w:cs="黑体"/>
          <w:b w:val="0"/>
          <w:bCs w:val="0"/>
          <w:color w:val="auto"/>
          <w:sz w:val="32"/>
          <w:szCs w:val="32"/>
          <w:u w:val="none"/>
          <w:lang w:val="en-US" w:eastAsia="zh-CN"/>
        </w:rPr>
        <w:t>九、岗位开考比例</w:t>
      </w:r>
      <w:bookmarkEnd w:id="4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r>
        <w:rPr>
          <w:rFonts w:hint="eastAsia" w:ascii="仿宋_GB2312" w:hAnsi="仿宋_GB2312" w:eastAsia="仿宋_GB2312" w:cs="仿宋_GB2312"/>
          <w:b w:val="0"/>
          <w:bCs w:val="0"/>
          <w:color w:val="auto"/>
          <w:sz w:val="32"/>
          <w:szCs w:val="32"/>
          <w:u w:val="none"/>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按要求取消开考、减少招聘人数</w:t>
      </w:r>
      <w:r>
        <w:rPr>
          <w:rFonts w:hint="eastAsia" w:ascii="仿宋_GB2312" w:hAnsi="仿宋_GB2312" w:eastAsia="仿宋_GB2312" w:cs="仿宋_GB2312"/>
          <w:color w:val="auto"/>
          <w:sz w:val="32"/>
          <w:szCs w:val="32"/>
          <w:lang w:eastAsia="zh-CN"/>
        </w:rPr>
        <w:t>的岗位</w:t>
      </w:r>
      <w:r>
        <w:rPr>
          <w:rFonts w:hint="eastAsia" w:ascii="仿宋_GB2312" w:hAnsi="仿宋_GB2312" w:eastAsia="仿宋_GB2312" w:cs="仿宋_GB2312"/>
          <w:color w:val="auto"/>
          <w:sz w:val="32"/>
          <w:szCs w:val="32"/>
        </w:rPr>
        <w:t>由招聘单位及其主管部门研究提出意见，经区人社局同意并报备市人社局后在考务信息通知平台另行公告。情况特殊确需降低开考比例的岗位，由招聘单位及其主管部门研究提出意见，经区人社局同意并报市人社局批准后在“网上考务信息通知”另行公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42" w:name="_Toc70495084"/>
      <w:r>
        <w:rPr>
          <w:rFonts w:hint="eastAsia" w:ascii="黑体" w:hAnsi="黑体" w:eastAsia="黑体" w:cs="黑体"/>
          <w:b w:val="0"/>
          <w:bCs w:val="0"/>
          <w:color w:val="auto"/>
          <w:sz w:val="32"/>
          <w:szCs w:val="32"/>
          <w:u w:val="none"/>
          <w:lang w:val="en-US" w:eastAsia="zh-CN"/>
        </w:rPr>
        <w:t>十、</w:t>
      </w:r>
      <w:r>
        <w:rPr>
          <w:rFonts w:hint="eastAsia" w:ascii="黑体" w:hAnsi="黑体" w:eastAsia="黑体" w:cs="黑体"/>
          <w:b w:val="0"/>
          <w:bCs w:val="0"/>
          <w:color w:val="auto"/>
          <w:sz w:val="32"/>
          <w:szCs w:val="32"/>
          <w:u w:val="none"/>
        </w:rPr>
        <w:t>笔试加分</w:t>
      </w:r>
      <w:bookmarkEnd w:id="4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3" w:name="_Toc70495085"/>
      <w:r>
        <w:rPr>
          <w:rFonts w:hint="eastAsia" w:ascii="楷体_GB2312" w:hAnsi="楷体_GB2312" w:eastAsia="楷体_GB2312" w:cs="楷体_GB2312"/>
          <w:b w:val="0"/>
          <w:bCs w:val="0"/>
          <w:color w:val="auto"/>
          <w:sz w:val="32"/>
          <w:szCs w:val="32"/>
          <w:u w:val="none"/>
        </w:rPr>
        <w:t>（一）加分原则</w:t>
      </w:r>
      <w:bookmarkEnd w:id="43"/>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笔试成绩=笔试卷面分+各项加分。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加分仅限于笔试卷面分，免笔试人员在面试环节不享受加分。加分不受笔试满分限制。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曾通过享受政策待遇被录（聘）为公务员或事业单位编内工作人员的，不再享受相应项目的加分</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44" w:name="_Toc70495086"/>
      <w:r>
        <w:rPr>
          <w:rFonts w:hint="eastAsia" w:ascii="楷体_GB2312" w:hAnsi="楷体_GB2312" w:eastAsia="楷体_GB2312" w:cs="楷体_GB2312"/>
          <w:b w:val="0"/>
          <w:bCs w:val="0"/>
          <w:color w:val="auto"/>
          <w:sz w:val="32"/>
          <w:szCs w:val="32"/>
          <w:u w:val="none"/>
        </w:rPr>
        <w:t>（二）加分对象</w:t>
      </w:r>
      <w:bookmarkEnd w:id="44"/>
    </w:p>
    <w:p>
      <w:pPr>
        <w:numPr>
          <w:ilvl w:val="0"/>
          <w:numId w:val="0"/>
        </w:numPr>
        <w:ind w:firstLine="640" w:firstLineChars="200"/>
        <w:outlineLvl w:val="2"/>
        <w:rPr>
          <w:rFonts w:hint="eastAsia" w:ascii="仿宋_GB2312" w:eastAsia="仿宋_GB2312"/>
          <w:color w:val="auto"/>
          <w:sz w:val="32"/>
          <w:szCs w:val="32"/>
          <w:highlight w:val="none"/>
          <w:lang w:eastAsia="zh-CN"/>
        </w:rPr>
      </w:pPr>
      <w:bookmarkStart w:id="45" w:name="_Toc15632"/>
      <w:bookmarkStart w:id="46" w:name="_Toc13976"/>
      <w:bookmarkStart w:id="47" w:name="_Toc9098"/>
      <w:bookmarkStart w:id="48" w:name="_Toc17898"/>
      <w:bookmarkStart w:id="49" w:name="_Toc25371"/>
      <w:bookmarkStart w:id="50" w:name="_Toc10848"/>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r>
        <w:rPr>
          <w:rFonts w:hint="eastAsia" w:ascii="仿宋_GB2312" w:eastAsia="仿宋_GB2312"/>
          <w:color w:val="auto"/>
          <w:sz w:val="32"/>
          <w:szCs w:val="32"/>
          <w:highlight w:val="none"/>
          <w:lang w:eastAsia="zh-CN"/>
        </w:rPr>
        <w:t>：</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45"/>
      <w:bookmarkEnd w:id="46"/>
      <w:bookmarkEnd w:id="47"/>
      <w:bookmarkEnd w:id="48"/>
      <w:bookmarkEnd w:id="49"/>
      <w:bookmarkEnd w:id="5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2021年12月31日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51" w:name="_Toc23253"/>
      <w:bookmarkStart w:id="52" w:name="_Toc3463"/>
      <w:bookmarkStart w:id="53" w:name="_Toc12368"/>
      <w:bookmarkStart w:id="54" w:name="_Toc1747"/>
      <w:bookmarkStart w:id="55" w:name="_Toc22049"/>
      <w:bookmarkStart w:id="56" w:name="_Toc24980"/>
      <w:r>
        <w:rPr>
          <w:rFonts w:hint="eastAsia" w:ascii="仿宋_GB2312" w:hAnsi="仿宋_GB2312" w:eastAsia="仿宋_GB2312" w:cs="仿宋_GB2312"/>
          <w:b/>
          <w:bCs/>
          <w:color w:val="auto"/>
          <w:sz w:val="32"/>
          <w:szCs w:val="32"/>
          <w:highlight w:val="none"/>
          <w:lang w:val="en-US" w:eastAsia="zh-CN"/>
        </w:rPr>
        <w:t>2.退役士兵（含大学生退役士兵）</w:t>
      </w:r>
      <w:bookmarkEnd w:id="51"/>
      <w:bookmarkEnd w:id="52"/>
      <w:bookmarkEnd w:id="53"/>
      <w:bookmarkEnd w:id="54"/>
      <w:bookmarkEnd w:id="55"/>
      <w:bookmarkEnd w:id="5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57" w:name="_Toc31915"/>
      <w:bookmarkStart w:id="58" w:name="_Toc21973"/>
      <w:bookmarkStart w:id="59" w:name="_Toc15434"/>
      <w:bookmarkStart w:id="60" w:name="_Toc5502"/>
      <w:r>
        <w:rPr>
          <w:rFonts w:hint="eastAsia" w:ascii="仿宋_GB2312" w:hAnsi="仿宋_GB2312" w:eastAsia="仿宋_GB2312" w:cs="仿宋_GB2312"/>
          <w:b/>
          <w:bCs/>
          <w:color w:val="auto"/>
          <w:sz w:val="32"/>
          <w:szCs w:val="32"/>
          <w:highlight w:val="none"/>
          <w:lang w:val="en-US" w:eastAsia="zh-CN"/>
        </w:rPr>
        <w:t>3.退役优秀运动员</w:t>
      </w:r>
      <w:bookmarkEnd w:id="57"/>
      <w:bookmarkEnd w:id="58"/>
      <w:bookmarkEnd w:id="59"/>
      <w:bookmarkEnd w:id="6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3" w:firstLineChars="200"/>
        <w:outlineLvl w:val="1"/>
        <w:rPr>
          <w:rFonts w:hint="eastAsia" w:ascii="楷体" w:hAnsi="楷体" w:eastAsia="楷体" w:cs="楷体"/>
          <w:b/>
          <w:bCs/>
          <w:color w:val="auto"/>
          <w:sz w:val="32"/>
          <w:szCs w:val="32"/>
          <w:highlight w:val="none"/>
          <w:lang w:eastAsia="zh-CN"/>
        </w:rPr>
      </w:pPr>
      <w:bookmarkStart w:id="61" w:name="_Toc30306"/>
      <w:bookmarkStart w:id="62" w:name="_Toc22910"/>
      <w:r>
        <w:rPr>
          <w:rFonts w:hint="eastAsia" w:ascii="楷体" w:hAnsi="楷体" w:eastAsia="楷体" w:cs="楷体"/>
          <w:b/>
          <w:bCs/>
          <w:color w:val="auto"/>
          <w:sz w:val="32"/>
          <w:szCs w:val="32"/>
          <w:highlight w:val="none"/>
          <w:lang w:eastAsia="zh-CN"/>
        </w:rPr>
        <w:t>（三）加分证明材料</w:t>
      </w:r>
      <w:bookmarkEnd w:id="61"/>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4月29日前</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b w:val="0"/>
          <w:bCs w:val="0"/>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w:t>
      </w:r>
      <w:r>
        <w:rPr>
          <w:rFonts w:hint="eastAsia" w:ascii="仿宋_GB2312" w:eastAsia="仿宋_GB2312"/>
          <w:b w:val="0"/>
          <w:bCs w:val="0"/>
          <w:color w:val="auto"/>
          <w:sz w:val="32"/>
          <w:szCs w:val="32"/>
          <w:highlight w:val="none"/>
          <w:lang w:eastAsia="zh-CN"/>
        </w:rPr>
        <w:t>相关部门</w:t>
      </w:r>
      <w:r>
        <w:rPr>
          <w:rFonts w:hint="eastAsia" w:ascii="仿宋_GB2312" w:eastAsia="仿宋_GB2312"/>
          <w:b w:val="0"/>
          <w:bCs w:val="0"/>
          <w:color w:val="auto"/>
          <w:sz w:val="32"/>
          <w:szCs w:val="32"/>
          <w:highlight w:val="none"/>
        </w:rPr>
        <w:t>开具的证明继续有效。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63" w:name="_Toc70495091"/>
      <w:r>
        <w:rPr>
          <w:rFonts w:hint="eastAsia" w:ascii="黑体" w:hAnsi="黑体" w:eastAsia="黑体" w:cs="黑体"/>
          <w:b w:val="0"/>
          <w:bCs w:val="0"/>
          <w:color w:val="auto"/>
          <w:sz w:val="32"/>
          <w:szCs w:val="32"/>
          <w:u w:val="none"/>
          <w:lang w:val="en-US" w:eastAsia="zh-CN"/>
        </w:rPr>
        <w:t>十一、</w:t>
      </w:r>
      <w:r>
        <w:rPr>
          <w:rFonts w:hint="eastAsia" w:ascii="黑体" w:hAnsi="黑体" w:eastAsia="黑体" w:cs="黑体"/>
          <w:b w:val="0"/>
          <w:bCs w:val="0"/>
          <w:color w:val="auto"/>
          <w:sz w:val="32"/>
          <w:szCs w:val="32"/>
          <w:u w:val="none"/>
        </w:rPr>
        <w:t>综合总分计算</w:t>
      </w:r>
      <w:bookmarkEnd w:id="63"/>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综合总分合格线为60分，其中：</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（一）免笔试参加面试的：综合总分=面试成绩。</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（二）有笔试和面试的：综合总分=笔试成绩×</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0%+面试成绩×</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0%。</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64" w:name="_Toc70495092"/>
      <w:r>
        <w:rPr>
          <w:rFonts w:hint="eastAsia" w:ascii="黑体" w:hAnsi="黑体" w:eastAsia="黑体" w:cs="黑体"/>
          <w:b w:val="0"/>
          <w:bCs w:val="0"/>
          <w:color w:val="auto"/>
          <w:sz w:val="32"/>
          <w:szCs w:val="32"/>
          <w:u w:val="none"/>
          <w:lang w:val="en-US" w:eastAsia="zh-CN"/>
        </w:rPr>
        <w:t>十二、</w:t>
      </w:r>
      <w:r>
        <w:rPr>
          <w:rFonts w:hint="eastAsia" w:ascii="黑体" w:hAnsi="黑体" w:eastAsia="黑体" w:cs="黑体"/>
          <w:b w:val="0"/>
          <w:bCs w:val="0"/>
          <w:color w:val="auto"/>
          <w:sz w:val="32"/>
          <w:szCs w:val="32"/>
          <w:u w:val="none"/>
        </w:rPr>
        <w:t>体检和考察</w:t>
      </w:r>
      <w:bookmarkEnd w:id="64"/>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5" w:name="_Toc70495093"/>
      <w:r>
        <w:rPr>
          <w:rFonts w:hint="eastAsia" w:ascii="楷体_GB2312" w:hAnsi="楷体_GB2312" w:eastAsia="楷体_GB2312" w:cs="楷体_GB2312"/>
          <w:b w:val="0"/>
          <w:bCs w:val="0"/>
          <w:color w:val="auto"/>
          <w:sz w:val="32"/>
          <w:szCs w:val="32"/>
          <w:u w:val="none"/>
        </w:rPr>
        <w:t>（一）确定体检人选</w:t>
      </w:r>
      <w:bookmarkEnd w:id="65"/>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从笔试、面试</w:t>
      </w:r>
      <w:r>
        <w:rPr>
          <w:rFonts w:hint="eastAsia" w:ascii="仿宋_GB2312" w:eastAsia="仿宋_GB2312"/>
          <w:color w:val="auto"/>
          <w:sz w:val="32"/>
          <w:szCs w:val="32"/>
          <w:highlight w:val="none"/>
          <w:lang w:eastAsia="zh-CN"/>
        </w:rPr>
        <w:t>成绩</w:t>
      </w:r>
      <w:r>
        <w:rPr>
          <w:rFonts w:hint="eastAsia" w:ascii="仿宋_GB2312" w:eastAsia="仿宋_GB2312"/>
          <w:color w:val="auto"/>
          <w:sz w:val="32"/>
          <w:szCs w:val="32"/>
          <w:highlight w:val="none"/>
        </w:rPr>
        <w:t>和综合总分均合格者中</w:t>
      </w:r>
      <w:r>
        <w:rPr>
          <w:rFonts w:hint="eastAsia" w:ascii="仿宋_GB2312" w:hAnsi="仿宋_GB2312" w:eastAsia="仿宋_GB2312" w:cs="仿宋_GB2312"/>
          <w:b w:val="0"/>
          <w:bCs w:val="0"/>
          <w:color w:val="auto"/>
          <w:sz w:val="32"/>
          <w:szCs w:val="32"/>
          <w:u w:val="none"/>
        </w:rPr>
        <w:t>，根据综合总分排名顺序，按岗位拟招聘人数1:1的比例从高分至低分确定体检人选。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6" w:name="_Toc70495094"/>
      <w:r>
        <w:rPr>
          <w:rFonts w:hint="eastAsia" w:ascii="楷体_GB2312" w:hAnsi="楷体_GB2312" w:eastAsia="楷体_GB2312" w:cs="楷体_GB2312"/>
          <w:b w:val="0"/>
          <w:bCs w:val="0"/>
          <w:color w:val="auto"/>
          <w:sz w:val="32"/>
          <w:szCs w:val="32"/>
          <w:u w:val="none"/>
        </w:rPr>
        <w:t>（二）组织体检</w:t>
      </w:r>
      <w:bookmarkEnd w:id="66"/>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体检</w:t>
      </w:r>
      <w:r>
        <w:rPr>
          <w:rFonts w:hint="eastAsia" w:ascii="仿宋_GB2312" w:hAnsi="仿宋_GB2312" w:eastAsia="仿宋_GB2312" w:cs="仿宋_GB2312"/>
          <w:b w:val="0"/>
          <w:bCs w:val="0"/>
          <w:color w:val="auto"/>
          <w:sz w:val="32"/>
          <w:szCs w:val="32"/>
          <w:u w:val="none"/>
          <w:lang w:val="en-US" w:eastAsia="zh-CN"/>
        </w:rPr>
        <w:t>由区人社局统一组织，</w:t>
      </w:r>
      <w:r>
        <w:rPr>
          <w:rFonts w:hint="eastAsia" w:ascii="仿宋_GB2312" w:hAnsi="仿宋_GB2312" w:eastAsia="仿宋_GB2312" w:cs="仿宋_GB2312"/>
          <w:b w:val="0"/>
          <w:bCs w:val="0"/>
          <w:color w:val="auto"/>
          <w:sz w:val="32"/>
          <w:szCs w:val="32"/>
          <w:u w:val="none"/>
        </w:rPr>
        <w:t>考察由招聘单位会同主管部门负责组织实施。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体检人员应根据通知按时参加并配合体检，否则，视为放弃资格。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7" w:name="_Toc70495095"/>
      <w:r>
        <w:rPr>
          <w:rFonts w:hint="eastAsia" w:ascii="楷体_GB2312" w:hAnsi="楷体_GB2312" w:eastAsia="楷体_GB2312" w:cs="楷体_GB2312"/>
          <w:b w:val="0"/>
          <w:bCs w:val="0"/>
          <w:color w:val="auto"/>
          <w:sz w:val="32"/>
          <w:szCs w:val="32"/>
          <w:u w:val="none"/>
        </w:rPr>
        <w:t>（三）体检依据</w:t>
      </w:r>
      <w:bookmarkEnd w:id="67"/>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bookmarkStart w:id="68" w:name="_Toc70495096"/>
      <w:r>
        <w:rPr>
          <w:rFonts w:hint="eastAsia" w:ascii="仿宋_GB2312" w:eastAsia="仿宋_GB2312"/>
          <w:color w:val="auto"/>
          <w:sz w:val="32"/>
          <w:szCs w:val="32"/>
          <w:highlight w:val="none"/>
          <w:lang w:eastAsia="zh-CN"/>
        </w:rPr>
        <w:t>体检医院由</w:t>
      </w:r>
      <w:r>
        <w:rPr>
          <w:rFonts w:hint="eastAsia" w:ascii="仿宋_GB2312" w:eastAsia="仿宋_GB2312"/>
          <w:color w:val="auto"/>
          <w:sz w:val="32"/>
          <w:szCs w:val="32"/>
          <w:highlight w:val="none"/>
          <w:lang w:val="en-US" w:eastAsia="zh-CN"/>
        </w:rPr>
        <w:t>区人社局</w:t>
      </w:r>
      <w:r>
        <w:rPr>
          <w:rFonts w:hint="eastAsia" w:ascii="仿宋_GB2312" w:eastAsia="仿宋_GB2312"/>
          <w:color w:val="auto"/>
          <w:sz w:val="32"/>
          <w:szCs w:val="32"/>
          <w:highlight w:val="none"/>
          <w:lang w:eastAsia="zh-CN"/>
        </w:rPr>
        <w:t>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从事放射岗位人员还需根据《放射工作人员职业健康监护技术规范》（卫通[2011]2号）完成岗前必检项目的体检。</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（四）体检复检</w:t>
      </w:r>
      <w:bookmarkEnd w:id="68"/>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69" w:name="_Toc70495097"/>
      <w:r>
        <w:rPr>
          <w:rFonts w:hint="eastAsia" w:ascii="楷体_GB2312" w:hAnsi="楷体_GB2312" w:eastAsia="楷体_GB2312" w:cs="楷体_GB2312"/>
          <w:b w:val="0"/>
          <w:bCs w:val="0"/>
          <w:color w:val="auto"/>
          <w:sz w:val="32"/>
          <w:szCs w:val="32"/>
          <w:u w:val="none"/>
        </w:rPr>
        <w:t>（五）可延迟体检的情形</w:t>
      </w:r>
      <w:bookmarkEnd w:id="6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0" w:name="_Toc70495098"/>
      <w:r>
        <w:rPr>
          <w:rFonts w:hint="eastAsia" w:ascii="楷体_GB2312" w:hAnsi="楷体_GB2312" w:eastAsia="楷体_GB2312" w:cs="楷体_GB2312"/>
          <w:b w:val="0"/>
          <w:bCs w:val="0"/>
          <w:color w:val="auto"/>
          <w:sz w:val="32"/>
          <w:szCs w:val="32"/>
          <w:u w:val="none"/>
        </w:rPr>
        <w:t>（六）考察</w:t>
      </w:r>
      <w:bookmarkEnd w:id="70"/>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lang w:val="en-US" w:eastAsia="zh-CN"/>
        </w:rPr>
        <w:t>考察工作前，通过中国执行信息公开网（http://zxgk.court.gov.cn/）核实考察对象有无失信被执行的情况。被依法列为失信联合惩戒对象的，不得报考或或取消报考（聘用）资格。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71" w:name="_Toc70495099"/>
      <w:r>
        <w:rPr>
          <w:rFonts w:hint="eastAsia" w:ascii="黑体" w:hAnsi="黑体" w:eastAsia="黑体" w:cs="黑体"/>
          <w:b w:val="0"/>
          <w:bCs w:val="0"/>
          <w:color w:val="auto"/>
          <w:sz w:val="32"/>
          <w:szCs w:val="32"/>
          <w:u w:val="none"/>
          <w:lang w:val="en-US" w:eastAsia="zh-CN"/>
        </w:rPr>
        <w:t>十三、</w:t>
      </w:r>
      <w:r>
        <w:rPr>
          <w:rFonts w:hint="eastAsia" w:ascii="黑体" w:hAnsi="黑体" w:eastAsia="黑体" w:cs="黑体"/>
          <w:b w:val="0"/>
          <w:bCs w:val="0"/>
          <w:color w:val="auto"/>
          <w:sz w:val="32"/>
          <w:szCs w:val="32"/>
          <w:u w:val="none"/>
        </w:rPr>
        <w:t>公示</w:t>
      </w:r>
      <w:bookmarkEnd w:id="7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根据岗位要求以及考试、体检、考察结果，确定拟聘用人员名单，并在“网上考务信息通知”公示7个工作日。公示内容包括招聘单位名称、招聘岗位、拟聘人员基本信息等。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default" w:ascii="黑体" w:hAnsi="黑体" w:eastAsia="黑体" w:cs="黑体"/>
          <w:b w:val="0"/>
          <w:bCs w:val="0"/>
          <w:color w:val="auto"/>
          <w:sz w:val="32"/>
          <w:szCs w:val="32"/>
          <w:u w:val="none"/>
          <w:lang w:val="en-US" w:eastAsia="zh-CN"/>
        </w:rPr>
      </w:pPr>
      <w:bookmarkStart w:id="72" w:name="_Toc70495100"/>
      <w:r>
        <w:rPr>
          <w:rFonts w:hint="eastAsia" w:ascii="黑体" w:hAnsi="黑体" w:eastAsia="黑体" w:cs="黑体"/>
          <w:b w:val="0"/>
          <w:bCs w:val="0"/>
          <w:color w:val="auto"/>
          <w:sz w:val="32"/>
          <w:szCs w:val="32"/>
          <w:u w:val="none"/>
          <w:lang w:val="en-US" w:eastAsia="zh-CN"/>
        </w:rPr>
        <w:t>十四、聘用</w:t>
      </w:r>
      <w:bookmarkEnd w:id="72"/>
      <w:r>
        <w:rPr>
          <w:rFonts w:hint="eastAsia" w:ascii="黑体" w:hAnsi="黑体" w:eastAsia="黑体" w:cs="黑体"/>
          <w:b w:val="0"/>
          <w:bCs w:val="0"/>
          <w:color w:val="auto"/>
          <w:sz w:val="32"/>
          <w:szCs w:val="32"/>
          <w:u w:val="none"/>
          <w:lang w:val="en-US" w:eastAsia="zh-CN"/>
        </w:rPr>
        <w:t>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3" w:name="_Toc3099"/>
      <w:r>
        <w:rPr>
          <w:rFonts w:hint="eastAsia" w:ascii="楷体_GB2312" w:hAnsi="楷体_GB2312" w:eastAsia="楷体_GB2312" w:cs="楷体_GB2312"/>
          <w:b w:val="0"/>
          <w:bCs w:val="0"/>
          <w:color w:val="auto"/>
          <w:sz w:val="32"/>
          <w:szCs w:val="32"/>
          <w:u w:val="none"/>
        </w:rPr>
        <w:t>（一）聘用手续办理</w:t>
      </w:r>
      <w:bookmarkEnd w:id="73"/>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4" w:name="_Toc9234"/>
      <w:r>
        <w:rPr>
          <w:rFonts w:hint="eastAsia" w:ascii="楷体_GB2312" w:hAnsi="楷体_GB2312" w:eastAsia="楷体_GB2312" w:cs="楷体_GB2312"/>
          <w:b w:val="0"/>
          <w:bCs w:val="0"/>
          <w:color w:val="auto"/>
          <w:sz w:val="32"/>
          <w:szCs w:val="32"/>
          <w:u w:val="none"/>
        </w:rPr>
        <w:t>（二）岗位聘任</w:t>
      </w:r>
      <w:bookmarkEnd w:id="74"/>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招聘单位对拟聘人员的聘用须按照事业单位岗位设置管理规定</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按本单位发布的招聘岗位类别和级别进行聘任。如招聘单位的拟聘岗位数量不足或拟聘人员不具备相应岗位聘任资格条件的，可实行高职低聘。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75" w:name="_Toc70495103"/>
      <w:r>
        <w:rPr>
          <w:rFonts w:hint="eastAsia" w:ascii="黑体" w:hAnsi="黑体" w:eastAsia="黑体" w:cs="黑体"/>
          <w:b w:val="0"/>
          <w:bCs w:val="0"/>
          <w:color w:val="auto"/>
          <w:sz w:val="32"/>
          <w:szCs w:val="32"/>
          <w:u w:val="none"/>
          <w:lang w:val="en-US" w:eastAsia="zh-CN"/>
        </w:rPr>
        <w:t>十五、</w:t>
      </w:r>
      <w:bookmarkEnd w:id="75"/>
      <w:r>
        <w:rPr>
          <w:rFonts w:hint="eastAsia" w:ascii="黑体" w:hAnsi="黑体" w:eastAsia="黑体" w:cs="黑体"/>
          <w:b w:val="0"/>
          <w:bCs w:val="0"/>
          <w:color w:val="auto"/>
          <w:sz w:val="32"/>
          <w:szCs w:val="32"/>
          <w:u w:val="none"/>
          <w:lang w:val="en-US" w:eastAsia="zh-CN"/>
        </w:rPr>
        <w:t>其他需说明事项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rPr>
      </w:pPr>
      <w:bookmarkStart w:id="76" w:name="_Toc70495104"/>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一</w:t>
      </w:r>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rPr>
        <w:t>职称</w:t>
      </w:r>
      <w:bookmarkEnd w:id="76"/>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岗位资格条件要求的职称是指经社会化评审</w:t>
      </w:r>
      <w:r>
        <w:rPr>
          <w:rFonts w:hint="eastAsia" w:ascii="仿宋_GB2312" w:eastAsia="仿宋_GB2312"/>
          <w:color w:val="auto"/>
          <w:sz w:val="32"/>
          <w:szCs w:val="32"/>
          <w:lang w:eastAsia="zh-CN"/>
        </w:rPr>
        <w:t>、全国统一</w:t>
      </w:r>
      <w:r>
        <w:rPr>
          <w:rFonts w:hint="eastAsia" w:ascii="仿宋_GB2312" w:eastAsia="仿宋_GB2312"/>
          <w:color w:val="auto"/>
          <w:sz w:val="32"/>
          <w:szCs w:val="32"/>
        </w:rPr>
        <w:t>考试</w:t>
      </w:r>
      <w:r>
        <w:rPr>
          <w:rFonts w:hint="eastAsia" w:ascii="仿宋_GB2312" w:eastAsia="仿宋_GB2312"/>
          <w:color w:val="auto"/>
          <w:sz w:val="32"/>
          <w:szCs w:val="32"/>
          <w:lang w:eastAsia="zh-CN"/>
        </w:rPr>
        <w:t>或考核确认</w:t>
      </w:r>
      <w:r>
        <w:rPr>
          <w:rFonts w:hint="eastAsia" w:ascii="仿宋_GB2312" w:eastAsia="仿宋_GB2312"/>
          <w:color w:val="auto"/>
          <w:sz w:val="32"/>
          <w:szCs w:val="32"/>
        </w:rPr>
        <w:t>等方式取得的</w:t>
      </w:r>
      <w:r>
        <w:rPr>
          <w:rFonts w:hint="eastAsia" w:ascii="仿宋_GB2312" w:eastAsia="仿宋_GB2312"/>
          <w:color w:val="auto"/>
          <w:sz w:val="32"/>
          <w:szCs w:val="32"/>
          <w:lang w:eastAsia="zh-CN"/>
        </w:rPr>
        <w:t>专业技术职务任职资格</w:t>
      </w:r>
      <w:r>
        <w:rPr>
          <w:rFonts w:hint="eastAsia" w:ascii="仿宋_GB2312" w:eastAsia="仿宋_GB2312"/>
          <w:color w:val="auto"/>
          <w:sz w:val="32"/>
          <w:szCs w:val="32"/>
        </w:rPr>
        <w:t>，不含通过非公有制企业职称评审</w:t>
      </w:r>
      <w:r>
        <w:rPr>
          <w:rFonts w:hint="eastAsia" w:ascii="仿宋_GB2312" w:eastAsia="仿宋_GB2312"/>
          <w:color w:val="auto"/>
          <w:sz w:val="32"/>
          <w:szCs w:val="32"/>
          <w:lang w:eastAsia="zh-CN"/>
        </w:rPr>
        <w:t>方式</w:t>
      </w:r>
      <w:r>
        <w:rPr>
          <w:rFonts w:hint="eastAsia" w:ascii="仿宋_GB2312" w:eastAsia="仿宋_GB2312"/>
          <w:color w:val="auto"/>
          <w:sz w:val="32"/>
          <w:szCs w:val="32"/>
        </w:rPr>
        <w:t>取得的职称。</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rPr>
      </w:pPr>
      <w:bookmarkStart w:id="77" w:name="_Toc19212"/>
      <w:bookmarkStart w:id="78" w:name="_Toc70495105"/>
      <w:bookmarkStart w:id="79" w:name="_Toc22170"/>
      <w:r>
        <w:rPr>
          <w:rFonts w:hint="eastAsia" w:ascii="仿宋_GB2312" w:eastAsia="仿宋_GB2312"/>
          <w:color w:val="auto"/>
          <w:sz w:val="32"/>
          <w:szCs w:val="32"/>
        </w:rPr>
        <w:t>报考者已于报名截止日前通过岗位条件要求（含上述以非普通教育学历报考的考生须取得的资格要求）的相应资格证书考试（或评审等）但未取得证书的，须在资格复核时，提供有效的成绩单及是否通过考试的结论。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年毕业的医学专业“四证合一”应届研究生，在符合报考岗位其他资格条件的前提下，其医师资格证书可于202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年12月31日前随符合岗位报考条件的相应学历（位）证书一并提供。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二</w:t>
      </w:r>
      <w:r>
        <w:rPr>
          <w:rFonts w:hint="eastAsia" w:ascii="楷体_GB2312" w:hAnsi="楷体_GB2312" w:eastAsia="楷体_GB2312" w:cs="楷体_GB2312"/>
          <w:b w:val="0"/>
          <w:bCs w:val="0"/>
          <w:color w:val="auto"/>
          <w:sz w:val="32"/>
          <w:szCs w:val="32"/>
          <w:u w:val="none"/>
          <w:lang w:eastAsia="zh-CN"/>
        </w:rPr>
        <w:t>）规范化培训</w:t>
      </w:r>
      <w:bookmarkEnd w:id="77"/>
      <w:bookmarkEnd w:id="78"/>
      <w:bookmarkEnd w:id="79"/>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岗位条件要求完成住院医师规范化培训的，是指按照《住院医师规范化培训内容和标准（试行）》完成住院医师规范化培训内容并取得合格证书。</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岗位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报考者应于资格复核时提供岗位条件要求的规范化培训合格证书或证书主管部门出具的成绩单及是否通过考试的结论书面证明。202</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届当年毕业的医学专业“四证合一”应届研究生，在符合报考岗位其他资格条件的前提下，其住院医师规范化培训合格证书可于202</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年12月31日前随符合岗位报考条件的相应学历（位）证书一并提供。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0" w:name="_Toc70495106"/>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三</w:t>
      </w:r>
      <w:r>
        <w:rPr>
          <w:rFonts w:hint="eastAsia" w:ascii="楷体_GB2312" w:hAnsi="楷体_GB2312" w:eastAsia="楷体_GB2312" w:cs="楷体_GB2312"/>
          <w:b w:val="0"/>
          <w:bCs w:val="0"/>
          <w:color w:val="auto"/>
          <w:sz w:val="32"/>
          <w:szCs w:val="32"/>
          <w:u w:val="none"/>
          <w:lang w:eastAsia="zh-CN"/>
        </w:rPr>
        <w:t>）生源</w:t>
      </w:r>
      <w:bookmarkEnd w:id="80"/>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w:t>
      </w:r>
      <w:r>
        <w:rPr>
          <w:rFonts w:hint="eastAsia" w:ascii="仿宋_GB2312" w:eastAsia="仿宋_GB2312"/>
          <w:color w:val="auto"/>
          <w:sz w:val="32"/>
          <w:szCs w:val="32"/>
          <w:highlight w:val="none"/>
        </w:rPr>
        <w:t>籍在厦门市的普通教育全日制</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福建生源类推界定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1" w:name="_Toc70495107"/>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四</w:t>
      </w:r>
      <w:r>
        <w:rPr>
          <w:rFonts w:hint="eastAsia" w:ascii="楷体_GB2312" w:hAnsi="楷体_GB2312" w:eastAsia="楷体_GB2312" w:cs="楷体_GB2312"/>
          <w:b w:val="0"/>
          <w:bCs w:val="0"/>
          <w:color w:val="auto"/>
          <w:sz w:val="32"/>
          <w:szCs w:val="32"/>
          <w:u w:val="none"/>
          <w:lang w:eastAsia="zh-CN"/>
        </w:rPr>
        <w:t>）港澳台人员</w:t>
      </w:r>
      <w:bookmarkEnd w:id="8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港澳台人员（不得持有外国籍）的招聘，按照国家、省和我市有关规定办理。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2" w:name="_Toc70495108"/>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五</w:t>
      </w:r>
      <w:r>
        <w:rPr>
          <w:rFonts w:hint="eastAsia" w:ascii="楷体_GB2312" w:hAnsi="楷体_GB2312" w:eastAsia="楷体_GB2312" w:cs="楷体_GB2312"/>
          <w:b w:val="0"/>
          <w:bCs w:val="0"/>
          <w:color w:val="auto"/>
          <w:sz w:val="32"/>
          <w:szCs w:val="32"/>
          <w:u w:val="none"/>
          <w:lang w:eastAsia="zh-CN"/>
        </w:rPr>
        <w:t>）技工院校毕业生</w:t>
      </w:r>
      <w:bookmarkEnd w:id="8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83" w:name="_Toc70495109"/>
      <w:r>
        <w:rPr>
          <w:rFonts w:hint="eastAsia" w:ascii="黑体" w:hAnsi="黑体" w:eastAsia="黑体" w:cs="黑体"/>
          <w:b w:val="0"/>
          <w:bCs w:val="0"/>
          <w:color w:val="auto"/>
          <w:sz w:val="32"/>
          <w:szCs w:val="32"/>
          <w:u w:val="none"/>
          <w:lang w:val="en-US" w:eastAsia="zh-CN"/>
        </w:rPr>
        <w:t>十六、</w:t>
      </w:r>
      <w:r>
        <w:rPr>
          <w:rFonts w:hint="eastAsia" w:ascii="黑体" w:hAnsi="黑体" w:eastAsia="黑体" w:cs="黑体"/>
          <w:b w:val="0"/>
          <w:bCs w:val="0"/>
          <w:color w:val="auto"/>
          <w:sz w:val="32"/>
          <w:szCs w:val="32"/>
          <w:u w:val="none"/>
        </w:rPr>
        <w:t>网上报名操作须知</w:t>
      </w:r>
      <w:bookmarkEnd w:id="83"/>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4" w:name="_Toc70495110"/>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一</w:t>
      </w:r>
      <w:r>
        <w:rPr>
          <w:rFonts w:hint="eastAsia" w:ascii="楷体_GB2312" w:hAnsi="楷体_GB2312" w:eastAsia="楷体_GB2312" w:cs="楷体_GB2312"/>
          <w:b w:val="0"/>
          <w:bCs w:val="0"/>
          <w:color w:val="auto"/>
          <w:sz w:val="32"/>
          <w:szCs w:val="32"/>
          <w:u w:val="none"/>
          <w:lang w:eastAsia="zh-CN"/>
        </w:rPr>
        <w:t>）个人密码重置</w:t>
      </w:r>
      <w:bookmarkEnd w:id="84"/>
      <w:r>
        <w:rPr>
          <w:rFonts w:hint="eastAsia" w:ascii="楷体_GB2312" w:hAnsi="楷体_GB2312" w:eastAsia="楷体_GB2312" w:cs="楷体_GB2312"/>
          <w:b w:val="0"/>
          <w:bCs w:val="0"/>
          <w:color w:val="auto"/>
          <w:sz w:val="32"/>
          <w:szCs w:val="32"/>
          <w:u w:val="none"/>
          <w:lang w:eastAsia="zh-CN"/>
        </w:rPr>
        <w:tab/>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第一种：</w:t>
      </w:r>
      <w:r>
        <w:rPr>
          <w:rFonts w:hint="eastAsia" w:ascii="仿宋_GB2312" w:eastAsia="仿宋_GB2312"/>
          <w:color w:val="auto"/>
          <w:sz w:val="32"/>
          <w:szCs w:val="32"/>
          <w:highlight w:val="none"/>
        </w:rPr>
        <w:t>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b/>
          <w:bCs/>
          <w:color w:val="auto"/>
          <w:sz w:val="32"/>
          <w:szCs w:val="32"/>
          <w:highlight w:val="none"/>
        </w:rPr>
        <w:t>第二种：</w:t>
      </w:r>
      <w:r>
        <w:rPr>
          <w:rFonts w:hint="eastAsia" w:ascii="仿宋_GB2312" w:eastAsia="仿宋_GB2312"/>
          <w:color w:val="auto"/>
          <w:sz w:val="32"/>
          <w:szCs w:val="32"/>
          <w:highlight w:val="none"/>
        </w:rPr>
        <w:t>人工找回。须将手持身份证原件的肖像照、身份证正反面照片发送至xmmmcz@163.com，待工作人员</w:t>
      </w:r>
      <w:r>
        <w:rPr>
          <w:rFonts w:hint="eastAsia" w:ascii="仿宋_GB2312" w:eastAsia="仿宋_GB2312"/>
          <w:color w:val="auto"/>
          <w:sz w:val="32"/>
          <w:szCs w:val="32"/>
          <w:highlight w:val="none"/>
          <w:lang w:eastAsia="zh-CN"/>
        </w:rPr>
        <w:t>依序逐一</w:t>
      </w:r>
      <w:r>
        <w:rPr>
          <w:rFonts w:hint="eastAsia" w:ascii="仿宋_GB2312" w:eastAsia="仿宋_GB2312"/>
          <w:color w:val="auto"/>
          <w:sz w:val="32"/>
          <w:szCs w:val="32"/>
          <w:highlight w:val="none"/>
        </w:rPr>
        <w:t>审核并</w:t>
      </w:r>
      <w:r>
        <w:rPr>
          <w:rFonts w:hint="eastAsia" w:ascii="仿宋_GB2312" w:eastAsia="仿宋_GB2312"/>
          <w:color w:val="auto"/>
          <w:sz w:val="32"/>
          <w:szCs w:val="32"/>
          <w:highlight w:val="none"/>
          <w:lang w:eastAsia="zh-CN"/>
        </w:rPr>
        <w:t>重置，请耐心等待</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85" w:name="_Toc70495111"/>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二</w:t>
      </w:r>
      <w:r>
        <w:rPr>
          <w:rFonts w:hint="eastAsia" w:ascii="楷体_GB2312" w:hAnsi="楷体_GB2312" w:eastAsia="楷体_GB2312" w:cs="楷体_GB2312"/>
          <w:b w:val="0"/>
          <w:bCs w:val="0"/>
          <w:color w:val="auto"/>
          <w:sz w:val="32"/>
          <w:szCs w:val="32"/>
          <w:u w:val="none"/>
          <w:lang w:eastAsia="zh-CN"/>
        </w:rPr>
        <w:t>）报名信息填写</w:t>
      </w:r>
      <w:bookmarkEnd w:id="85"/>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请考生认真对照岗位资格条件等要求，务必准确、完整填写截至报名日的相关个人信息。</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u w:val="none"/>
        </w:rPr>
      </w:pPr>
      <w:bookmarkStart w:id="86" w:name="_Toc10868"/>
      <w:bookmarkStart w:id="87" w:name="_Toc3262"/>
      <w:bookmarkStart w:id="88" w:name="_Toc16055"/>
      <w:r>
        <w:rPr>
          <w:rFonts w:hint="eastAsia" w:ascii="仿宋_GB2312" w:hAnsi="仿宋_GB2312" w:eastAsia="仿宋_GB2312" w:cs="仿宋_GB2312"/>
          <w:b/>
          <w:bCs/>
          <w:color w:val="auto"/>
          <w:sz w:val="32"/>
          <w:szCs w:val="32"/>
          <w:u w:val="none"/>
        </w:rPr>
        <w:t>1.首次在报名系统注册的考生</w:t>
      </w:r>
      <w:bookmarkEnd w:id="86"/>
      <w:bookmarkEnd w:id="87"/>
      <w:bookmarkEnd w:id="88"/>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考生应登录“报名系统”，根据截至报名日实际情况逐一填写个人相关信息，包括“我的基本信息”和“教育工作背景”等。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bCs/>
          <w:color w:val="auto"/>
          <w:sz w:val="32"/>
          <w:szCs w:val="32"/>
          <w:u w:val="none"/>
        </w:rPr>
      </w:pPr>
      <w:bookmarkStart w:id="89" w:name="_Toc16611"/>
      <w:bookmarkStart w:id="90" w:name="_Toc13506"/>
      <w:bookmarkStart w:id="91" w:name="_Toc5835"/>
      <w:r>
        <w:rPr>
          <w:rFonts w:hint="eastAsia" w:ascii="仿宋_GB2312" w:hAnsi="仿宋_GB2312" w:eastAsia="仿宋_GB2312" w:cs="仿宋_GB2312"/>
          <w:b/>
          <w:bCs/>
          <w:color w:val="auto"/>
          <w:sz w:val="32"/>
          <w:szCs w:val="32"/>
          <w:u w:val="none"/>
        </w:rPr>
        <w:t>2.曾在报名系统注册的考生</w:t>
      </w:r>
      <w:bookmarkEnd w:id="89"/>
      <w:bookmarkEnd w:id="90"/>
      <w:bookmarkEnd w:id="9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务必再次重新修改完善个人相关信息。报名提交审核后修改填写的个人信息，系统将无法更新，导致报考单位按之前信息审核认定不合格。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92" w:name="_Toc70495112"/>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三</w:t>
      </w:r>
      <w:r>
        <w:rPr>
          <w:rFonts w:hint="eastAsia" w:ascii="楷体_GB2312" w:hAnsi="楷体_GB2312" w:eastAsia="楷体_GB2312" w:cs="楷体_GB2312"/>
          <w:b w:val="0"/>
          <w:bCs w:val="0"/>
          <w:color w:val="auto"/>
          <w:sz w:val="32"/>
          <w:szCs w:val="32"/>
          <w:u w:val="none"/>
          <w:lang w:eastAsia="zh-CN"/>
        </w:rPr>
        <w:t>）报名次数限定</w:t>
      </w:r>
      <w:bookmarkEnd w:id="92"/>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同一个岗位考生最多提交审核3次。在招聘单位未审核前，考生可以在“已报名情况”中自行取消报名，自行取消报名次数不限。通过审核后不得取消或更改报名岗位。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u w:val="none"/>
          <w:lang w:eastAsia="zh-CN"/>
        </w:rPr>
      </w:pPr>
      <w:bookmarkStart w:id="93" w:name="_Toc70495113"/>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b w:val="0"/>
          <w:bCs w:val="0"/>
          <w:color w:val="auto"/>
          <w:sz w:val="32"/>
          <w:szCs w:val="32"/>
          <w:u w:val="none"/>
          <w:lang w:val="en-US" w:eastAsia="zh-CN"/>
        </w:rPr>
        <w:t>四</w:t>
      </w:r>
      <w:r>
        <w:rPr>
          <w:rFonts w:hint="eastAsia" w:ascii="楷体_GB2312" w:hAnsi="楷体_GB2312" w:eastAsia="楷体_GB2312" w:cs="楷体_GB2312"/>
          <w:b w:val="0"/>
          <w:bCs w:val="0"/>
          <w:color w:val="auto"/>
          <w:sz w:val="32"/>
          <w:szCs w:val="32"/>
          <w:u w:val="none"/>
          <w:lang w:eastAsia="zh-CN"/>
        </w:rPr>
        <w:t>）申诉注意事项</w:t>
      </w:r>
      <w:bookmarkEnd w:id="93"/>
    </w:p>
    <w:p>
      <w:pPr>
        <w:keepNext w:val="0"/>
        <w:keepLines w:val="0"/>
        <w:pageBreakBefore w:val="0"/>
        <w:widowControl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报考者在同一岗位被审</w:t>
      </w:r>
      <w:bookmarkStart w:id="95" w:name="_GoBack"/>
      <w:bookmarkEnd w:id="95"/>
      <w:r>
        <w:rPr>
          <w:rFonts w:hint="eastAsia" w:ascii="仿宋_GB2312" w:eastAsia="仿宋_GB2312"/>
          <w:color w:val="auto"/>
          <w:sz w:val="32"/>
          <w:szCs w:val="32"/>
          <w:highlight w:val="none"/>
          <w:lang w:val="en-US" w:eastAsia="zh-CN"/>
        </w:rPr>
        <w:t>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b w:val="0"/>
          <w:bCs w:val="0"/>
          <w:color w:val="auto"/>
          <w:sz w:val="32"/>
          <w:szCs w:val="32"/>
          <w:u w:val="none"/>
        </w:rPr>
      </w:pPr>
      <w:bookmarkStart w:id="94" w:name="_Toc70495114"/>
      <w:r>
        <w:rPr>
          <w:rFonts w:hint="eastAsia" w:ascii="黑体" w:hAnsi="黑体" w:eastAsia="黑体" w:cs="黑体"/>
          <w:b w:val="0"/>
          <w:bCs w:val="0"/>
          <w:color w:val="auto"/>
          <w:sz w:val="32"/>
          <w:szCs w:val="32"/>
          <w:u w:val="none"/>
          <w:lang w:val="en-US" w:eastAsia="zh-CN"/>
        </w:rPr>
        <w:t>十七、</w:t>
      </w:r>
      <w:r>
        <w:rPr>
          <w:rFonts w:hint="eastAsia" w:ascii="黑体" w:hAnsi="黑体" w:eastAsia="黑体" w:cs="黑体"/>
          <w:b w:val="0"/>
          <w:bCs w:val="0"/>
          <w:color w:val="auto"/>
          <w:sz w:val="32"/>
          <w:szCs w:val="32"/>
          <w:u w:val="none"/>
        </w:rPr>
        <w:t>疫情防控要求</w:t>
      </w:r>
      <w:bookmarkEnd w:id="94"/>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eastAsia="仿宋_GB2312" w:cstheme="minorBidi"/>
          <w:color w:val="auto"/>
          <w:sz w:val="32"/>
          <w:szCs w:val="32"/>
          <w:highlight w:val="none"/>
          <w:lang w:eastAsia="zh-CN"/>
        </w:rPr>
      </w:pPr>
      <w:r>
        <w:rPr>
          <w:rFonts w:hint="eastAsia" w:ascii="仿宋_GB2312" w:eastAsia="仿宋_GB2312" w:hAnsiTheme="minorHAnsi" w:cstheme="minorBidi"/>
          <w:color w:val="auto"/>
          <w:sz w:val="32"/>
          <w:szCs w:val="32"/>
          <w:highlight w:val="none"/>
        </w:rPr>
        <w:t>疫情防控要求贯穿本次招聘全程，将严格按照厦门市应对新冠肺炎疫情工作指挥部</w:t>
      </w:r>
      <w:r>
        <w:rPr>
          <w:rFonts w:hint="eastAsia" w:ascii="仿宋_GB2312" w:eastAsia="仿宋_GB2312" w:cstheme="minorBidi"/>
          <w:color w:val="auto"/>
          <w:sz w:val="32"/>
          <w:szCs w:val="32"/>
          <w:highlight w:val="none"/>
          <w:lang w:eastAsia="zh-CN"/>
        </w:rPr>
        <w:t>最新</w:t>
      </w:r>
      <w:r>
        <w:rPr>
          <w:rFonts w:hint="eastAsia" w:ascii="仿宋_GB2312" w:eastAsia="仿宋_GB2312" w:hAnsiTheme="minorHAnsi" w:cstheme="minorBidi"/>
          <w:color w:val="auto"/>
          <w:sz w:val="32"/>
          <w:szCs w:val="32"/>
          <w:highlight w:val="none"/>
        </w:rPr>
        <w:t>部署，严密落实新冠肺炎疫情防控要求，考生务必遵照疫情防控要求，提前做好行程规划，以免错失考试资格。</w:t>
      </w:r>
      <w:r>
        <w:rPr>
          <w:rFonts w:hint="eastAsia" w:ascii="仿宋_GB2312" w:eastAsia="仿宋_GB2312" w:cstheme="minorBidi"/>
          <w:color w:val="auto"/>
          <w:sz w:val="32"/>
          <w:szCs w:val="32"/>
          <w:highlight w:val="none"/>
          <w:lang w:eastAsia="zh-CN"/>
        </w:rPr>
        <w:t>本简章发布之日起至招聘结束，如境内新增中高风险地区，从境内中高风险地区、境外地区来厦的，按我市疫情防控规定执行。</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eastAsia="仿宋_GB2312" w:cstheme="minorBidi"/>
          <w:color w:val="auto"/>
          <w:sz w:val="32"/>
          <w:szCs w:val="32"/>
          <w:highlight w:val="none"/>
          <w:lang w:eastAsia="zh-CN"/>
        </w:rPr>
        <w:t>招聘疫情防控要求请及时关注“报名系统”相关通知。必要时或有疑问，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sectPr>
      <w:pgSz w:w="11906" w:h="16838"/>
      <w:pgMar w:top="2098" w:right="1474" w:bottom="1984"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Text Box 1" o:spid="_x0000_s4097" o:spt="202" type="#_x0000_t202" style="position:absolute;left:0pt;margin-top:0pt;height:11pt;width:4.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A16"/>
    <w:rsid w:val="00024CCB"/>
    <w:rsid w:val="000327EA"/>
    <w:rsid w:val="00034B8E"/>
    <w:rsid w:val="0004009B"/>
    <w:rsid w:val="00040619"/>
    <w:rsid w:val="00061345"/>
    <w:rsid w:val="000630F5"/>
    <w:rsid w:val="00083710"/>
    <w:rsid w:val="0009347B"/>
    <w:rsid w:val="000A75FC"/>
    <w:rsid w:val="000B0FC0"/>
    <w:rsid w:val="000B1E6E"/>
    <w:rsid w:val="000C0BBE"/>
    <w:rsid w:val="000C1A79"/>
    <w:rsid w:val="00101C63"/>
    <w:rsid w:val="001141D7"/>
    <w:rsid w:val="00137BC5"/>
    <w:rsid w:val="0014786A"/>
    <w:rsid w:val="0017732C"/>
    <w:rsid w:val="001B0419"/>
    <w:rsid w:val="001B41A7"/>
    <w:rsid w:val="001C3B14"/>
    <w:rsid w:val="001D2812"/>
    <w:rsid w:val="001D2B43"/>
    <w:rsid w:val="001D3F6C"/>
    <w:rsid w:val="001E744A"/>
    <w:rsid w:val="001F633A"/>
    <w:rsid w:val="00213A8B"/>
    <w:rsid w:val="00236AB8"/>
    <w:rsid w:val="002472E9"/>
    <w:rsid w:val="0025439C"/>
    <w:rsid w:val="00260B60"/>
    <w:rsid w:val="00273D3A"/>
    <w:rsid w:val="00283FFF"/>
    <w:rsid w:val="002870B8"/>
    <w:rsid w:val="0029226C"/>
    <w:rsid w:val="002A4F64"/>
    <w:rsid w:val="002A6E56"/>
    <w:rsid w:val="002E7744"/>
    <w:rsid w:val="002F6529"/>
    <w:rsid w:val="0031053B"/>
    <w:rsid w:val="00323E6F"/>
    <w:rsid w:val="00327D0C"/>
    <w:rsid w:val="0033190A"/>
    <w:rsid w:val="003413FD"/>
    <w:rsid w:val="00352943"/>
    <w:rsid w:val="003758FD"/>
    <w:rsid w:val="0038584A"/>
    <w:rsid w:val="00390791"/>
    <w:rsid w:val="00393C30"/>
    <w:rsid w:val="0039564C"/>
    <w:rsid w:val="003A7D13"/>
    <w:rsid w:val="003B30DD"/>
    <w:rsid w:val="003B3661"/>
    <w:rsid w:val="003F123B"/>
    <w:rsid w:val="003F1339"/>
    <w:rsid w:val="003F6248"/>
    <w:rsid w:val="00413DE3"/>
    <w:rsid w:val="004319DA"/>
    <w:rsid w:val="00473054"/>
    <w:rsid w:val="004869E0"/>
    <w:rsid w:val="004A42A3"/>
    <w:rsid w:val="004B1561"/>
    <w:rsid w:val="004B2DED"/>
    <w:rsid w:val="004B6278"/>
    <w:rsid w:val="004C2B60"/>
    <w:rsid w:val="004E3ED6"/>
    <w:rsid w:val="00503D56"/>
    <w:rsid w:val="005250F7"/>
    <w:rsid w:val="005345D7"/>
    <w:rsid w:val="00541E5E"/>
    <w:rsid w:val="00544387"/>
    <w:rsid w:val="005519B3"/>
    <w:rsid w:val="00551B2B"/>
    <w:rsid w:val="00555C24"/>
    <w:rsid w:val="00565159"/>
    <w:rsid w:val="00567350"/>
    <w:rsid w:val="00574AF0"/>
    <w:rsid w:val="005846E1"/>
    <w:rsid w:val="005917A9"/>
    <w:rsid w:val="005B69E2"/>
    <w:rsid w:val="005F6CA6"/>
    <w:rsid w:val="0060284B"/>
    <w:rsid w:val="00607711"/>
    <w:rsid w:val="006103D3"/>
    <w:rsid w:val="0061384E"/>
    <w:rsid w:val="006158CB"/>
    <w:rsid w:val="006213DD"/>
    <w:rsid w:val="00621ACA"/>
    <w:rsid w:val="006223EA"/>
    <w:rsid w:val="006229D9"/>
    <w:rsid w:val="00631E9A"/>
    <w:rsid w:val="00645369"/>
    <w:rsid w:val="006542B0"/>
    <w:rsid w:val="00665DA5"/>
    <w:rsid w:val="00681410"/>
    <w:rsid w:val="006819D7"/>
    <w:rsid w:val="006833C8"/>
    <w:rsid w:val="0069064B"/>
    <w:rsid w:val="006A3257"/>
    <w:rsid w:val="006A506D"/>
    <w:rsid w:val="006A5852"/>
    <w:rsid w:val="006D5211"/>
    <w:rsid w:val="006E3BAA"/>
    <w:rsid w:val="00702F8A"/>
    <w:rsid w:val="007220D0"/>
    <w:rsid w:val="00723CB1"/>
    <w:rsid w:val="007400FA"/>
    <w:rsid w:val="00756EC5"/>
    <w:rsid w:val="007705E8"/>
    <w:rsid w:val="00777E4A"/>
    <w:rsid w:val="00790DAD"/>
    <w:rsid w:val="00791B25"/>
    <w:rsid w:val="00791D16"/>
    <w:rsid w:val="007967EA"/>
    <w:rsid w:val="007C1B59"/>
    <w:rsid w:val="007C4212"/>
    <w:rsid w:val="007D437E"/>
    <w:rsid w:val="007E41A3"/>
    <w:rsid w:val="007F533F"/>
    <w:rsid w:val="0080368F"/>
    <w:rsid w:val="008132CA"/>
    <w:rsid w:val="00832857"/>
    <w:rsid w:val="0083620D"/>
    <w:rsid w:val="008610BF"/>
    <w:rsid w:val="00872411"/>
    <w:rsid w:val="00877227"/>
    <w:rsid w:val="00881AA0"/>
    <w:rsid w:val="00895091"/>
    <w:rsid w:val="008A5364"/>
    <w:rsid w:val="008B603D"/>
    <w:rsid w:val="008B79ED"/>
    <w:rsid w:val="008D1852"/>
    <w:rsid w:val="00905C34"/>
    <w:rsid w:val="00913B6C"/>
    <w:rsid w:val="00940152"/>
    <w:rsid w:val="00950F30"/>
    <w:rsid w:val="00954E45"/>
    <w:rsid w:val="00962CC8"/>
    <w:rsid w:val="00972D58"/>
    <w:rsid w:val="009A3578"/>
    <w:rsid w:val="009D0DDC"/>
    <w:rsid w:val="009D6F29"/>
    <w:rsid w:val="009D7416"/>
    <w:rsid w:val="009E4603"/>
    <w:rsid w:val="009E4D11"/>
    <w:rsid w:val="00A01963"/>
    <w:rsid w:val="00A06918"/>
    <w:rsid w:val="00A1489E"/>
    <w:rsid w:val="00A217A8"/>
    <w:rsid w:val="00A268DE"/>
    <w:rsid w:val="00A57868"/>
    <w:rsid w:val="00A65DD2"/>
    <w:rsid w:val="00A74F77"/>
    <w:rsid w:val="00A805DA"/>
    <w:rsid w:val="00A84DFE"/>
    <w:rsid w:val="00AA508C"/>
    <w:rsid w:val="00AA6BF1"/>
    <w:rsid w:val="00AB091A"/>
    <w:rsid w:val="00AB1E03"/>
    <w:rsid w:val="00AB6A05"/>
    <w:rsid w:val="00B215F6"/>
    <w:rsid w:val="00B24F71"/>
    <w:rsid w:val="00B26EC3"/>
    <w:rsid w:val="00B30772"/>
    <w:rsid w:val="00B32262"/>
    <w:rsid w:val="00B42C35"/>
    <w:rsid w:val="00B46E15"/>
    <w:rsid w:val="00B84020"/>
    <w:rsid w:val="00B91E17"/>
    <w:rsid w:val="00BA29B7"/>
    <w:rsid w:val="00BA31A7"/>
    <w:rsid w:val="00BB2B71"/>
    <w:rsid w:val="00BF0C5A"/>
    <w:rsid w:val="00BF58CD"/>
    <w:rsid w:val="00C009D9"/>
    <w:rsid w:val="00C10BBC"/>
    <w:rsid w:val="00C11140"/>
    <w:rsid w:val="00C14388"/>
    <w:rsid w:val="00C2186B"/>
    <w:rsid w:val="00C2304E"/>
    <w:rsid w:val="00C37E04"/>
    <w:rsid w:val="00C66186"/>
    <w:rsid w:val="00C71E92"/>
    <w:rsid w:val="00C8052F"/>
    <w:rsid w:val="00C8405A"/>
    <w:rsid w:val="00C845B5"/>
    <w:rsid w:val="00C94477"/>
    <w:rsid w:val="00CA3A16"/>
    <w:rsid w:val="00CA562B"/>
    <w:rsid w:val="00CA6F69"/>
    <w:rsid w:val="00CE73F4"/>
    <w:rsid w:val="00D03D42"/>
    <w:rsid w:val="00D07CFE"/>
    <w:rsid w:val="00D17020"/>
    <w:rsid w:val="00D34958"/>
    <w:rsid w:val="00D37E5D"/>
    <w:rsid w:val="00D402E6"/>
    <w:rsid w:val="00D40F5F"/>
    <w:rsid w:val="00D43CF0"/>
    <w:rsid w:val="00D47F20"/>
    <w:rsid w:val="00D86DD5"/>
    <w:rsid w:val="00DA3C97"/>
    <w:rsid w:val="00DA5FC0"/>
    <w:rsid w:val="00DA7FB5"/>
    <w:rsid w:val="00DB0B27"/>
    <w:rsid w:val="00DB223A"/>
    <w:rsid w:val="00DD58E0"/>
    <w:rsid w:val="00DF4534"/>
    <w:rsid w:val="00E008D4"/>
    <w:rsid w:val="00E024DE"/>
    <w:rsid w:val="00E20B63"/>
    <w:rsid w:val="00E263FF"/>
    <w:rsid w:val="00E43EED"/>
    <w:rsid w:val="00E45BCB"/>
    <w:rsid w:val="00E501FF"/>
    <w:rsid w:val="00E64BFF"/>
    <w:rsid w:val="00E85A5E"/>
    <w:rsid w:val="00EA31FA"/>
    <w:rsid w:val="00EA35A1"/>
    <w:rsid w:val="00EB4277"/>
    <w:rsid w:val="00EC0FDE"/>
    <w:rsid w:val="00EE4163"/>
    <w:rsid w:val="00EE7384"/>
    <w:rsid w:val="00F0419D"/>
    <w:rsid w:val="00F07FBE"/>
    <w:rsid w:val="00F12DD7"/>
    <w:rsid w:val="00F135AC"/>
    <w:rsid w:val="00F2449F"/>
    <w:rsid w:val="00F24AC9"/>
    <w:rsid w:val="00F34B3F"/>
    <w:rsid w:val="00F44D41"/>
    <w:rsid w:val="00F5073D"/>
    <w:rsid w:val="00F5550C"/>
    <w:rsid w:val="00F60F54"/>
    <w:rsid w:val="00F65A11"/>
    <w:rsid w:val="00F8296D"/>
    <w:rsid w:val="00F84DA1"/>
    <w:rsid w:val="00FC084C"/>
    <w:rsid w:val="00FC74FA"/>
    <w:rsid w:val="00FC7AD4"/>
    <w:rsid w:val="012E4057"/>
    <w:rsid w:val="01706B3D"/>
    <w:rsid w:val="029C19EF"/>
    <w:rsid w:val="02AF79A2"/>
    <w:rsid w:val="039D63E2"/>
    <w:rsid w:val="0431644B"/>
    <w:rsid w:val="05AC43BD"/>
    <w:rsid w:val="05D97382"/>
    <w:rsid w:val="060D0DBE"/>
    <w:rsid w:val="063C65E5"/>
    <w:rsid w:val="06B534C8"/>
    <w:rsid w:val="06D75243"/>
    <w:rsid w:val="085459A4"/>
    <w:rsid w:val="089D2016"/>
    <w:rsid w:val="09283A63"/>
    <w:rsid w:val="09D1113A"/>
    <w:rsid w:val="0A2926EC"/>
    <w:rsid w:val="0ABE0466"/>
    <w:rsid w:val="0BCA2B3D"/>
    <w:rsid w:val="0C42075F"/>
    <w:rsid w:val="0C62192F"/>
    <w:rsid w:val="0C9537CF"/>
    <w:rsid w:val="0CB229A4"/>
    <w:rsid w:val="0CFA7F8B"/>
    <w:rsid w:val="0EC36EF9"/>
    <w:rsid w:val="0EEC0086"/>
    <w:rsid w:val="0EFC1000"/>
    <w:rsid w:val="0FB1548E"/>
    <w:rsid w:val="0FE91000"/>
    <w:rsid w:val="11D50F5D"/>
    <w:rsid w:val="127C59E8"/>
    <w:rsid w:val="12B17B3E"/>
    <w:rsid w:val="135A5B2F"/>
    <w:rsid w:val="137A7CA3"/>
    <w:rsid w:val="14CE1044"/>
    <w:rsid w:val="15714F96"/>
    <w:rsid w:val="15D95F9E"/>
    <w:rsid w:val="1883196F"/>
    <w:rsid w:val="18DC4FBF"/>
    <w:rsid w:val="19F2321C"/>
    <w:rsid w:val="1A6D1194"/>
    <w:rsid w:val="1B4D3A90"/>
    <w:rsid w:val="1E381C14"/>
    <w:rsid w:val="1EAE54C8"/>
    <w:rsid w:val="1FAD1DE7"/>
    <w:rsid w:val="206474C3"/>
    <w:rsid w:val="20AB3B48"/>
    <w:rsid w:val="20D11DC7"/>
    <w:rsid w:val="2107136B"/>
    <w:rsid w:val="212E6965"/>
    <w:rsid w:val="21CD6AB5"/>
    <w:rsid w:val="21F41D88"/>
    <w:rsid w:val="23B83892"/>
    <w:rsid w:val="23DA0315"/>
    <w:rsid w:val="242714D3"/>
    <w:rsid w:val="248C709C"/>
    <w:rsid w:val="25454C78"/>
    <w:rsid w:val="25637318"/>
    <w:rsid w:val="25B64A56"/>
    <w:rsid w:val="262877F4"/>
    <w:rsid w:val="27434329"/>
    <w:rsid w:val="27613E34"/>
    <w:rsid w:val="28654F9C"/>
    <w:rsid w:val="29A27F83"/>
    <w:rsid w:val="29DC3048"/>
    <w:rsid w:val="2A46176F"/>
    <w:rsid w:val="2A681CA7"/>
    <w:rsid w:val="2AB93EDB"/>
    <w:rsid w:val="2B5A73B3"/>
    <w:rsid w:val="2C0C1B4F"/>
    <w:rsid w:val="2D0A1C91"/>
    <w:rsid w:val="2D146264"/>
    <w:rsid w:val="2D1620D0"/>
    <w:rsid w:val="2D3D3232"/>
    <w:rsid w:val="2D8F5E9A"/>
    <w:rsid w:val="2E10141D"/>
    <w:rsid w:val="2EBF1CF7"/>
    <w:rsid w:val="2ED55ABF"/>
    <w:rsid w:val="2EF03772"/>
    <w:rsid w:val="2F5A04DD"/>
    <w:rsid w:val="2FCF1868"/>
    <w:rsid w:val="2FF31FA0"/>
    <w:rsid w:val="30F8458A"/>
    <w:rsid w:val="3112736D"/>
    <w:rsid w:val="330D7063"/>
    <w:rsid w:val="331D1B45"/>
    <w:rsid w:val="34054802"/>
    <w:rsid w:val="34171B12"/>
    <w:rsid w:val="34407745"/>
    <w:rsid w:val="34FD21E1"/>
    <w:rsid w:val="36254EF0"/>
    <w:rsid w:val="36433543"/>
    <w:rsid w:val="36541C68"/>
    <w:rsid w:val="38303C6E"/>
    <w:rsid w:val="387E7A86"/>
    <w:rsid w:val="38A17E31"/>
    <w:rsid w:val="38FD340C"/>
    <w:rsid w:val="390E6A3F"/>
    <w:rsid w:val="39DE51F3"/>
    <w:rsid w:val="3A4A0A80"/>
    <w:rsid w:val="3CAA7142"/>
    <w:rsid w:val="3D3C6670"/>
    <w:rsid w:val="3D5926B2"/>
    <w:rsid w:val="3E742100"/>
    <w:rsid w:val="40280F9C"/>
    <w:rsid w:val="41FD4244"/>
    <w:rsid w:val="431A4FDF"/>
    <w:rsid w:val="45C66CF9"/>
    <w:rsid w:val="45D103AB"/>
    <w:rsid w:val="45D321F0"/>
    <w:rsid w:val="46DF3096"/>
    <w:rsid w:val="47240519"/>
    <w:rsid w:val="48613330"/>
    <w:rsid w:val="48C75D1F"/>
    <w:rsid w:val="4C9B4511"/>
    <w:rsid w:val="4D667BAF"/>
    <w:rsid w:val="4E073F0E"/>
    <w:rsid w:val="4E7B6BE7"/>
    <w:rsid w:val="4EBD7FB6"/>
    <w:rsid w:val="4EC918D2"/>
    <w:rsid w:val="4EE73456"/>
    <w:rsid w:val="4EFE0085"/>
    <w:rsid w:val="50247421"/>
    <w:rsid w:val="50B679B6"/>
    <w:rsid w:val="50C56250"/>
    <w:rsid w:val="51C74C19"/>
    <w:rsid w:val="52FB3729"/>
    <w:rsid w:val="53564D9D"/>
    <w:rsid w:val="540313D5"/>
    <w:rsid w:val="54EC7875"/>
    <w:rsid w:val="56BE477A"/>
    <w:rsid w:val="576F2D86"/>
    <w:rsid w:val="579E6CD9"/>
    <w:rsid w:val="58957AF6"/>
    <w:rsid w:val="595208AE"/>
    <w:rsid w:val="5A551433"/>
    <w:rsid w:val="5A6E3F82"/>
    <w:rsid w:val="5A9340A0"/>
    <w:rsid w:val="5AAA10A0"/>
    <w:rsid w:val="5BF24A76"/>
    <w:rsid w:val="5C033BC0"/>
    <w:rsid w:val="5C620362"/>
    <w:rsid w:val="5C976E58"/>
    <w:rsid w:val="5DFF4EA3"/>
    <w:rsid w:val="5E1C0D12"/>
    <w:rsid w:val="5EAB5FC1"/>
    <w:rsid w:val="5F3A704F"/>
    <w:rsid w:val="602A3FA6"/>
    <w:rsid w:val="62E81473"/>
    <w:rsid w:val="633A3546"/>
    <w:rsid w:val="642C7E79"/>
    <w:rsid w:val="6529276A"/>
    <w:rsid w:val="65561D37"/>
    <w:rsid w:val="662218A6"/>
    <w:rsid w:val="67587B68"/>
    <w:rsid w:val="688F48E3"/>
    <w:rsid w:val="699B2168"/>
    <w:rsid w:val="6A1F5B15"/>
    <w:rsid w:val="6ACA2314"/>
    <w:rsid w:val="6BB73BC1"/>
    <w:rsid w:val="6BE172C8"/>
    <w:rsid w:val="6D9912B9"/>
    <w:rsid w:val="6E7C5CB3"/>
    <w:rsid w:val="6F122394"/>
    <w:rsid w:val="6FEE47F4"/>
    <w:rsid w:val="70A854E5"/>
    <w:rsid w:val="70EA56E6"/>
    <w:rsid w:val="70EE53CD"/>
    <w:rsid w:val="72080B36"/>
    <w:rsid w:val="736B2384"/>
    <w:rsid w:val="743C5AC7"/>
    <w:rsid w:val="746F7336"/>
    <w:rsid w:val="747852FC"/>
    <w:rsid w:val="75CD167C"/>
    <w:rsid w:val="76F70E5D"/>
    <w:rsid w:val="777506C5"/>
    <w:rsid w:val="77EC41DA"/>
    <w:rsid w:val="785B6B77"/>
    <w:rsid w:val="78E77648"/>
    <w:rsid w:val="796D3657"/>
    <w:rsid w:val="7A595755"/>
    <w:rsid w:val="7AEA5CB2"/>
    <w:rsid w:val="7B090008"/>
    <w:rsid w:val="7BF511F2"/>
    <w:rsid w:val="7C4A1585"/>
    <w:rsid w:val="7DA302C5"/>
    <w:rsid w:val="7DD8399D"/>
    <w:rsid w:val="7F526B1C"/>
    <w:rsid w:val="7FE650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99"/>
    <w:pPr>
      <w:keepNext/>
      <w:keepLines/>
      <w:spacing w:line="576" w:lineRule="auto"/>
      <w:outlineLvl w:val="0"/>
    </w:pPr>
    <w:rPr>
      <w:b/>
      <w:kern w:val="44"/>
      <w:sz w:val="44"/>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toc 2"/>
    <w:basedOn w:val="1"/>
    <w:next w:val="1"/>
    <w:qFormat/>
    <w:uiPriority w:val="99"/>
    <w:pPr>
      <w:ind w:left="420" w:leftChars="200"/>
    </w:pPr>
  </w:style>
  <w:style w:type="character" w:styleId="11">
    <w:name w:val="FollowedHyperlink"/>
    <w:basedOn w:val="10"/>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styleId="13">
    <w:name w:val="annotation reference"/>
    <w:basedOn w:val="10"/>
    <w:semiHidden/>
    <w:qFormat/>
    <w:uiPriority w:val="99"/>
    <w:rPr>
      <w:rFonts w:cs="Times New Roman"/>
      <w:sz w:val="21"/>
      <w:szCs w:val="21"/>
    </w:rPr>
  </w:style>
  <w:style w:type="character" w:customStyle="1" w:styleId="14">
    <w:name w:val="Heading 1 Char"/>
    <w:basedOn w:val="10"/>
    <w:link w:val="2"/>
    <w:qFormat/>
    <w:locked/>
    <w:uiPriority w:val="99"/>
    <w:rPr>
      <w:rFonts w:ascii="Calibri" w:hAnsi="Calibri" w:eastAsia="宋体" w:cs="Times New Roman"/>
      <w:b/>
      <w:kern w:val="44"/>
      <w:sz w:val="22"/>
      <w:szCs w:val="22"/>
      <w:lang w:val="en-US" w:eastAsia="zh-CN" w:bidi="ar-SA"/>
    </w:rPr>
  </w:style>
  <w:style w:type="character" w:customStyle="1" w:styleId="15">
    <w:name w:val="Comment Text Char"/>
    <w:basedOn w:val="10"/>
    <w:link w:val="3"/>
    <w:semiHidden/>
    <w:qFormat/>
    <w:locked/>
    <w:uiPriority w:val="99"/>
    <w:rPr>
      <w:rFonts w:cs="Times New Roman"/>
    </w:rPr>
  </w:style>
  <w:style w:type="character" w:customStyle="1" w:styleId="16">
    <w:name w:val="Balloon Text Char"/>
    <w:basedOn w:val="10"/>
    <w:link w:val="4"/>
    <w:semiHidden/>
    <w:qFormat/>
    <w:locked/>
    <w:uiPriority w:val="99"/>
    <w:rPr>
      <w:rFonts w:cs="Times New Roman"/>
      <w:sz w:val="2"/>
    </w:rPr>
  </w:style>
  <w:style w:type="character" w:customStyle="1" w:styleId="17">
    <w:name w:val="Footer Char"/>
    <w:basedOn w:val="10"/>
    <w:link w:val="5"/>
    <w:qFormat/>
    <w:locked/>
    <w:uiPriority w:val="99"/>
    <w:rPr>
      <w:rFonts w:cs="Times New Roman"/>
      <w:sz w:val="18"/>
      <w:szCs w:val="18"/>
    </w:rPr>
  </w:style>
  <w:style w:type="character" w:customStyle="1" w:styleId="18">
    <w:name w:val="Header Char"/>
    <w:basedOn w:val="10"/>
    <w:link w:val="6"/>
    <w:semiHidden/>
    <w:qFormat/>
    <w:locked/>
    <w:uiPriority w:val="99"/>
    <w:rPr>
      <w:rFonts w:cs="Times New Roman"/>
      <w:sz w:val="18"/>
      <w:szCs w:val="18"/>
    </w:rPr>
  </w:style>
  <w:style w:type="paragraph" w:customStyle="1" w:styleId="1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0">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24</Pages>
  <Words>10193</Words>
  <Characters>10535</Characters>
  <Lines>0</Lines>
  <Paragraphs>0</Paragraphs>
  <TotalTime>33</TotalTime>
  <ScaleCrop>false</ScaleCrop>
  <LinksUpToDate>false</LinksUpToDate>
  <CharactersWithSpaces>10627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2021-04-28T01:40:00Z</dcterms:created>
  <dc:creator>dell</dc:creator>
  <cp:lastModifiedBy>dell</cp:lastModifiedBy>
  <cp:lastPrinted>2021-05-07T23:34:00Z</cp:lastPrinted>
  <dcterms:modified xsi:type="dcterms:W3CDTF">2022-04-19T07:22:44Z</dcterms:modified>
  <dc:title>附件1：厦门市同安区所属卫生事业单位</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BBB33F58C3C24EACA45BE9106E0C57BD</vt:lpwstr>
  </property>
</Properties>
</file>