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eastAsia="黑体"/>
          <w:sz w:val="32"/>
          <w:szCs w:val="32"/>
        </w:rPr>
      </w:pPr>
      <w:r>
        <w:rPr>
          <w:rFonts w:hint="eastAsia" w:ascii="黑体" w:eastAsia="黑体"/>
          <w:sz w:val="32"/>
          <w:szCs w:val="32"/>
        </w:rPr>
        <w:t>附件1</w:t>
      </w:r>
    </w:p>
    <w:p>
      <w:pPr>
        <w:spacing w:line="300" w:lineRule="exact"/>
        <w:rPr>
          <w:rFonts w:ascii="仿宋_GB2312" w:eastAsia="仿宋_GB2312"/>
          <w:sz w:val="24"/>
        </w:rPr>
      </w:pPr>
    </w:p>
    <w:p>
      <w:pPr>
        <w:spacing w:line="576" w:lineRule="exact"/>
        <w:ind w:firstLine="4859" w:firstLineChars="1100"/>
        <w:rPr>
          <w:rFonts w:ascii="方正小标宋简体" w:eastAsia="方正小标宋简体"/>
          <w:b/>
          <w:sz w:val="44"/>
          <w:szCs w:val="44"/>
        </w:rPr>
      </w:pPr>
      <w:r>
        <w:rPr>
          <w:rFonts w:hint="eastAsia" w:ascii="方正小标宋简体" w:eastAsia="方正小标宋简体"/>
          <w:b/>
          <w:sz w:val="44"/>
          <w:szCs w:val="44"/>
        </w:rPr>
        <w:t>招聘单位基本情况</w:t>
      </w:r>
    </w:p>
    <w:p>
      <w:pPr>
        <w:spacing w:line="300" w:lineRule="exact"/>
        <w:rPr>
          <w:rFonts w:ascii="仿宋_GB2312" w:eastAsia="仿宋_GB2312"/>
          <w:sz w:val="24"/>
        </w:rPr>
      </w:pPr>
    </w:p>
    <w:tbl>
      <w:tblPr>
        <w:tblStyle w:val="4"/>
        <w:tblW w:w="13939" w:type="dxa"/>
        <w:jc w:val="center"/>
        <w:tblLayout w:type="fixed"/>
        <w:tblCellMar>
          <w:top w:w="0" w:type="dxa"/>
          <w:left w:w="28" w:type="dxa"/>
          <w:bottom w:w="0" w:type="dxa"/>
          <w:right w:w="28" w:type="dxa"/>
        </w:tblCellMar>
      </w:tblPr>
      <w:tblGrid>
        <w:gridCol w:w="2062"/>
        <w:gridCol w:w="1080"/>
        <w:gridCol w:w="2265"/>
        <w:gridCol w:w="8532"/>
      </w:tblGrid>
      <w:tr>
        <w:tblPrEx>
          <w:tblCellMar>
            <w:top w:w="0" w:type="dxa"/>
            <w:left w:w="28" w:type="dxa"/>
            <w:bottom w:w="0" w:type="dxa"/>
            <w:right w:w="28" w:type="dxa"/>
          </w:tblCellMar>
        </w:tblPrEx>
        <w:trPr>
          <w:tblHeade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黑体" w:eastAsia="黑体"/>
                <w:sz w:val="22"/>
                <w:szCs w:val="22"/>
              </w:rPr>
            </w:pPr>
            <w:r>
              <w:rPr>
                <w:rFonts w:hint="eastAsia" w:ascii="黑体" w:eastAsia="黑体"/>
                <w:sz w:val="22"/>
                <w:szCs w:val="22"/>
              </w:rPr>
              <w:t>招聘单位</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黑体" w:eastAsia="黑体"/>
                <w:sz w:val="22"/>
                <w:szCs w:val="22"/>
              </w:rPr>
            </w:pPr>
            <w:r>
              <w:rPr>
                <w:rFonts w:hint="eastAsia" w:ascii="黑体" w:eastAsia="黑体"/>
                <w:sz w:val="22"/>
                <w:szCs w:val="22"/>
              </w:rPr>
              <w:t>经费形式</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黑体" w:eastAsia="黑体"/>
                <w:sz w:val="22"/>
                <w:szCs w:val="22"/>
              </w:rPr>
            </w:pPr>
            <w:r>
              <w:rPr>
                <w:rFonts w:hint="eastAsia" w:ascii="黑体" w:eastAsia="黑体"/>
                <w:sz w:val="22"/>
                <w:szCs w:val="22"/>
              </w:rPr>
              <w:t>单位地址</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黑体" w:eastAsia="黑体"/>
                <w:sz w:val="22"/>
                <w:szCs w:val="22"/>
              </w:rPr>
            </w:pPr>
            <w:r>
              <w:rPr>
                <w:rFonts w:hint="eastAsia" w:ascii="黑体" w:eastAsia="黑体"/>
                <w:sz w:val="22"/>
                <w:szCs w:val="22"/>
              </w:rPr>
              <w:t>主要职能简介</w:t>
            </w:r>
          </w:p>
        </w:tc>
      </w:tr>
      <w:tr>
        <w:tblPrEx>
          <w:tblCellMar>
            <w:top w:w="0" w:type="dxa"/>
            <w:left w:w="28" w:type="dxa"/>
            <w:bottom w:w="0" w:type="dxa"/>
            <w:right w:w="28" w:type="dxa"/>
          </w:tblCellMar>
        </w:tblPrEx>
        <w:trPr>
          <w:jc w:val="center"/>
        </w:trPr>
        <w:tc>
          <w:tcPr>
            <w:tcW w:w="2062"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旺苍县融媒体中心</w:t>
            </w:r>
          </w:p>
        </w:tc>
        <w:tc>
          <w:tcPr>
            <w:tcW w:w="1080" w:type="dxa"/>
            <w:tcBorders>
              <w:top w:val="nil"/>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nil"/>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旺苍县东河镇马家渡兴旺大道165号</w:t>
            </w:r>
          </w:p>
        </w:tc>
        <w:tc>
          <w:tcPr>
            <w:tcW w:w="8532" w:type="dxa"/>
            <w:tcBorders>
              <w:top w:val="nil"/>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负责宣传党和国家的路线、方针、政策和法律法规、规章，发挥舆论导向作用。开展“媒体+党建”、“媒体+政务”、“媒体+公共服务”、“媒体+增值服务”等业务。</w:t>
            </w:r>
          </w:p>
        </w:tc>
      </w:tr>
      <w:tr>
        <w:tblPrEx>
          <w:tblCellMar>
            <w:top w:w="0" w:type="dxa"/>
            <w:left w:w="28" w:type="dxa"/>
            <w:bottom w:w="0" w:type="dxa"/>
            <w:right w:w="28" w:type="dxa"/>
          </w:tblCellMar>
        </w:tblPrEx>
        <w:trPr>
          <w:jc w:val="center"/>
        </w:trPr>
        <w:tc>
          <w:tcPr>
            <w:tcW w:w="2062"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旺苍县委机关党务服务中心</w:t>
            </w:r>
          </w:p>
        </w:tc>
        <w:tc>
          <w:tcPr>
            <w:tcW w:w="1080" w:type="dxa"/>
            <w:tcBorders>
              <w:top w:val="nil"/>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nil"/>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旺苍县新华街333号</w:t>
            </w:r>
          </w:p>
        </w:tc>
        <w:tc>
          <w:tcPr>
            <w:tcW w:w="8532" w:type="dxa"/>
            <w:tcBorders>
              <w:top w:val="nil"/>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负责党务信息工作，各级党委文件的收发，深化改革办公室工作，全县统一的电子政务网络构架和网络平台建设和管理等工作。</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旺苍县综治中心</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旺苍县新华街333号</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全县社会治安综合治理和矛盾纠纷多元化解协调工作；负责统筹、协调、指导全县网格化工作，负责全县“雪亮工程”视频监管工作；负责全县综治干部培训等事务性工作；完成主管部门交办的其他工作事项。</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旺苍县法学会</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旺苍县新华街333号</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推进依法治县，发挥党和政府联系广大法学工作者、法律工作者的桥梁和纽带作用。制定全县法学研究的规划和计划，开展多学科、多层次的法学研究活动，为社会各界提供法律信息，法律咨询，法律培训等服务。</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旺苍县目标绩效评估中心</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旺苍县东河镇新华街333号</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负责制定、分解、分析目标绩效指标，以及目标绩效日常监控和年度考评等工作。</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pacing w:val="-12"/>
                <w:sz w:val="22"/>
                <w:szCs w:val="22"/>
              </w:rPr>
            </w:pPr>
            <w:r>
              <w:rPr>
                <w:rFonts w:hint="eastAsia" w:ascii="仿宋" w:hAnsi="仿宋" w:eastAsia="仿宋" w:cs="仿宋"/>
                <w:spacing w:val="-12"/>
                <w:sz w:val="22"/>
                <w:szCs w:val="22"/>
              </w:rPr>
              <w:t>旺苍县乡镇自然资源所</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旺苍县乡镇场镇</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负责对土地和矿产资源开发利用、保护情况实施巡查监督，依法保护耕地；对非法占用土地和勘查开采矿产资源或破坏耕地特别是基本农田、毁坏种植条件等违法行为进行制止等工作。</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旺苍县国有林场（县国有森林管理所）</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全额财拨</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旺苍县东河镇红星南路民乐巷7号</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负责保护、培育和扩大森林资源，开展科学试验和技术创新，推广先进技术,保护林业生态文化资源,维护国家生态安全，不断提高森林质量，提高生态、社会和经济效益。</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旺苍县国营苗圃</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全额财拨</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旺苍县东河镇松米山</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负责管理国有苗圃，促进林业发展。国有苗圃规划编制、林木种苗生产供应、林木良种选育与新技术推广、林木种苗调剂、林木信息服务。</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pacing w:val="-12"/>
                <w:sz w:val="22"/>
                <w:szCs w:val="22"/>
              </w:rPr>
            </w:pPr>
            <w:r>
              <w:rPr>
                <w:rFonts w:hint="eastAsia" w:ascii="仿宋" w:hAnsi="仿宋" w:eastAsia="仿宋" w:cs="仿宋"/>
                <w:spacing w:val="-12"/>
                <w:sz w:val="22"/>
                <w:szCs w:val="22"/>
              </w:rPr>
              <w:t>旺苍县汉王山东河湿地自然保护区事务中心</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全额财拨</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旺苍县东河镇凤凰路437号</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负责旺苍县汉王山东河湿地自然保护区资源的管理、自然资源和生态环境保护、开发利用管理等工作。</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旺苍县林业调查规划设计队</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pacing w:val="-12"/>
                <w:sz w:val="22"/>
                <w:szCs w:val="22"/>
              </w:rPr>
            </w:pPr>
            <w:r>
              <w:rPr>
                <w:rFonts w:hint="eastAsia" w:ascii="仿宋" w:hAnsi="仿宋" w:eastAsia="仿宋" w:cs="仿宋"/>
                <w:spacing w:val="-12"/>
                <w:sz w:val="22"/>
                <w:szCs w:val="22"/>
              </w:rPr>
              <w:t>非财政补助</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旺苍县东河镇凤凰路437号</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ind w:firstLine="420"/>
              <w:jc w:val="left"/>
              <w:rPr>
                <w:rFonts w:ascii="仿宋" w:hAnsi="仿宋" w:eastAsia="仿宋" w:cs="仿宋"/>
                <w:sz w:val="22"/>
                <w:szCs w:val="22"/>
              </w:rPr>
            </w:pPr>
            <w:r>
              <w:rPr>
                <w:rFonts w:hint="eastAsia" w:ascii="仿宋" w:hAnsi="仿宋" w:eastAsia="仿宋" w:cs="仿宋"/>
                <w:sz w:val="22"/>
                <w:szCs w:val="22"/>
              </w:rPr>
              <w:t>负责森林资源监测和勘查，工程项目的调查设计、施工、指导和检查验收；负责编制发展规划、区划及森林经营方案；3.承担各类林业设计和资源评估业务。</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旺苍县民营经济发展中心（旺苍县科技创新服务中心）</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旺苍县东河镇商业南街144号</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负责为民营企业提供政策、管理、技术咨询、融资信贷和信息交流、项目引进等服务，指导全县企业信息化建设等工作。</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旺苍县医疗保障事务中心</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旺苍县东河镇兴旺大道西段</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负责全县医疗保险、生育保险、医疗救助、长期护理等人员参保登记和医疗保障费用审核工作；协助做好基金征收工作；负责全县医疗保险关系转移接续等工作。</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旺苍县公证处</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差额拨款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pacing w:val="-12"/>
                <w:w w:val="90"/>
                <w:sz w:val="22"/>
                <w:szCs w:val="22"/>
              </w:rPr>
            </w:pPr>
            <w:r>
              <w:rPr>
                <w:rFonts w:hint="eastAsia" w:ascii="仿宋" w:hAnsi="仿宋" w:eastAsia="仿宋" w:cs="仿宋"/>
                <w:spacing w:val="-12"/>
                <w:w w:val="90"/>
                <w:sz w:val="22"/>
                <w:szCs w:val="22"/>
              </w:rPr>
              <w:t>旺苍县东河镇兴旺西路政务服务D区旺苍县司法局院内</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ind w:firstLine="440" w:firstLineChars="200"/>
              <w:rPr>
                <w:rFonts w:ascii="仿宋" w:hAnsi="仿宋" w:eastAsia="仿宋" w:cs="仿宋"/>
                <w:sz w:val="22"/>
                <w:szCs w:val="22"/>
              </w:rPr>
            </w:pPr>
            <w:r>
              <w:rPr>
                <w:rFonts w:hint="eastAsia" w:ascii="仿宋" w:hAnsi="仿宋" w:eastAsia="仿宋" w:cs="仿宋"/>
                <w:sz w:val="22"/>
                <w:szCs w:val="22"/>
              </w:rPr>
              <w:t>负责执行《公证法》，依法履行公证职责，办理公证业务。</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旺苍县乡村振兴服务中心</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旺苍县东河镇商业北街42号</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负责巩固拓展脱贫攻坚成果、统筹推进实施乡村振兴战略有关具体工作；统筹推进巩固拓展脱贫攻坚成果同乡村振兴有效衔接；牵头实施乡村建设行动等工作。</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旺苍县社会福利综合服务中心</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旺苍县东河镇东郊村</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ind w:firstLine="440" w:firstLineChars="200"/>
              <w:rPr>
                <w:rFonts w:ascii="仿宋" w:hAnsi="仿宋" w:eastAsia="仿宋" w:cs="仿宋"/>
                <w:sz w:val="22"/>
                <w:szCs w:val="22"/>
              </w:rPr>
            </w:pPr>
            <w:r>
              <w:rPr>
                <w:rFonts w:hint="eastAsia" w:ascii="仿宋" w:hAnsi="仿宋" w:eastAsia="仿宋" w:cs="仿宋"/>
                <w:sz w:val="22"/>
                <w:szCs w:val="22"/>
              </w:rPr>
              <w:t>负责为孤老、特困等服务对象提供护理、生活、健康教育等工作。</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旺苍县综合行政执法信息中心</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旺苍县东河镇兴旺大道西段121号</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负责城市管理及城市环境卫生政策法规宣传；负责全县城市管理信息化建设发展规划，指导全县城市管理信息化平台建设；负责城市管理信息平台维护和更新等。</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旺苍县水利科技服务中心</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旺苍县新华街553号</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left"/>
              <w:rPr>
                <w:sz w:val="22"/>
                <w:szCs w:val="22"/>
              </w:rPr>
            </w:pPr>
            <w:r>
              <w:rPr>
                <w:rFonts w:hint="eastAsia"/>
                <w:sz w:val="22"/>
                <w:szCs w:val="22"/>
              </w:rPr>
              <w:t xml:space="preserve">    </w:t>
            </w:r>
            <w:r>
              <w:rPr>
                <w:rFonts w:hint="eastAsia" w:ascii="仿宋" w:hAnsi="仿宋" w:eastAsia="仿宋" w:cs="仿宋"/>
                <w:sz w:val="22"/>
                <w:szCs w:val="22"/>
              </w:rPr>
              <w:t>负责全县水利、水政、水资源、水土保持、人饮、河道、堤防、防汛抗旱等建设的管理和综合开发利用。负责全县水利产业建设发展规划、勘测设计和科技推广咨询服务。</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旺苍县市场监管检验检测中心</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旺苍县东河镇兴旺西路117号</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负责完成食品、药品和化妆品监督抽检任务；协助完成国家药品医疗器械评价性抽样监测任务。负责药品等不良反应监测和发生的药品、医疗器械严重不良事件的调查、上报等工作。</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旺苍县人工影响天气事务中心</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旺苍县东河镇百丈街192号</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ind w:firstLine="440" w:firstLineChars="200"/>
              <w:jc w:val="left"/>
              <w:rPr>
                <w:rFonts w:ascii="仿宋" w:hAnsi="仿宋" w:eastAsia="仿宋" w:cs="仿宋"/>
                <w:sz w:val="22"/>
                <w:szCs w:val="22"/>
              </w:rPr>
            </w:pPr>
            <w:r>
              <w:rPr>
                <w:rFonts w:hint="eastAsia" w:ascii="仿宋" w:hAnsi="仿宋" w:eastAsia="仿宋" w:cs="仿宋"/>
                <w:sz w:val="22"/>
                <w:szCs w:val="22"/>
              </w:rPr>
              <w:t>负责为全县人降、防雷工作做好组织管理，做好防灾减灾服务。承担全县范围内人工增雨（雪）、防雹、消雨、消雾、森林防（灭）火和消除公共污染等相关职责。</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旺苍县建设工程质量安全监督站</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旺苍县凤凰梁87号</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left"/>
              <w:rPr>
                <w:rFonts w:hint="eastAsia" w:ascii="仿宋" w:hAnsi="仿宋" w:eastAsia="仿宋" w:cs="仿宋"/>
                <w:sz w:val="22"/>
                <w:szCs w:val="22"/>
              </w:rPr>
            </w:pPr>
            <w:r>
              <w:rPr>
                <w:rFonts w:hint="eastAsia" w:ascii="仿宋" w:hAnsi="仿宋" w:eastAsia="仿宋" w:cs="仿宋"/>
                <w:sz w:val="22"/>
                <w:szCs w:val="22"/>
              </w:rPr>
              <w:t xml:space="preserve">    负责全县建设工程安全质量管理，贯彻执行建设工程强制性标准，依法对工程建设五方责任主体履行质量安全责任的行为实施监督等工作。</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旺苍县美术馆</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旺苍县东河镇兴旺大道165号</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负责美术作品收藏、整理和维护保养，开展美术学术研究和交流，举办陈列展览，普及美术教育。</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旺苍县哲学社会科学界联合会</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仿宋" w:hAnsi="仿宋" w:eastAsia="仿宋" w:cs="仿宋"/>
                <w:sz w:val="22"/>
                <w:szCs w:val="22"/>
              </w:rPr>
            </w:pPr>
            <w:r>
              <w:rPr>
                <w:rFonts w:hint="eastAsia" w:ascii="仿宋" w:hAnsi="仿宋" w:eastAsia="仿宋" w:cs="仿宋"/>
                <w:sz w:val="22"/>
                <w:szCs w:val="22"/>
              </w:rPr>
              <w:t>旺苍县东河镇新华街333号</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left"/>
              <w:rPr>
                <w:rFonts w:hint="eastAsia" w:ascii="仿宋" w:hAnsi="仿宋" w:eastAsia="仿宋" w:cs="仿宋"/>
                <w:sz w:val="22"/>
                <w:szCs w:val="22"/>
              </w:rPr>
            </w:pPr>
            <w:r>
              <w:rPr>
                <w:rFonts w:hint="eastAsia" w:ascii="仿宋" w:hAnsi="仿宋" w:eastAsia="仿宋" w:cs="仿宋"/>
                <w:sz w:val="22"/>
                <w:szCs w:val="22"/>
              </w:rPr>
              <w:t xml:space="preserve">  负责组织协调学术研究活动，开展学术交流、社科咨询工作，促进社科理论研究成果社会化；编辑出版学术书刊和资料；奖励和表彰社科优秀成果、社科优秀学会团体和社科优秀工作者等工作。</w:t>
            </w:r>
          </w:p>
        </w:tc>
      </w:tr>
      <w:tr>
        <w:tblPrEx>
          <w:tblCellMar>
            <w:top w:w="0" w:type="dxa"/>
            <w:left w:w="28" w:type="dxa"/>
            <w:bottom w:w="0" w:type="dxa"/>
            <w:right w:w="28" w:type="dxa"/>
          </w:tblCellMar>
        </w:tblPrEx>
        <w:trPr>
          <w:jc w:val="center"/>
        </w:trPr>
        <w:tc>
          <w:tcPr>
            <w:tcW w:w="2062"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旺苍县乡镇便民服务中心</w:t>
            </w:r>
          </w:p>
        </w:tc>
        <w:tc>
          <w:tcPr>
            <w:tcW w:w="1080" w:type="dxa"/>
            <w:tcBorders>
              <w:top w:val="nil"/>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nil"/>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旺苍县乡镇场镇</w:t>
            </w:r>
          </w:p>
        </w:tc>
        <w:tc>
          <w:tcPr>
            <w:tcW w:w="8532" w:type="dxa"/>
            <w:tcBorders>
              <w:top w:val="nil"/>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负责贯彻执行政务服务、人力资源社会保障服务、医疗保障服务、退役军人服务等工作的路线、方针、政策和法律、法规、规章，组织协调进驻便民服务中心的行政审批、公共服务等便民服务工作。</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旺苍县乡镇农业综合服务中心</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旺苍县乡镇场镇</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 xml:space="preserve">    负责贯彻执行农业技术推广、农产品质量安全、农机管理服务、畜牧、渔业、农村经营管理、水利、林业等工作。</w:t>
            </w:r>
          </w:p>
        </w:tc>
      </w:tr>
      <w:tr>
        <w:tblPrEx>
          <w:tblCellMar>
            <w:top w:w="0" w:type="dxa"/>
            <w:left w:w="28" w:type="dxa"/>
            <w:bottom w:w="0" w:type="dxa"/>
            <w:right w:w="28" w:type="dxa"/>
          </w:tblCellMar>
        </w:tblPrEx>
        <w:trPr>
          <w:jc w:val="center"/>
        </w:trPr>
        <w:tc>
          <w:tcPr>
            <w:tcW w:w="2062"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旺苍县乡镇农民工服务中心</w:t>
            </w:r>
          </w:p>
        </w:tc>
        <w:tc>
          <w:tcPr>
            <w:tcW w:w="1080" w:type="dxa"/>
            <w:tcBorders>
              <w:top w:val="nil"/>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nil"/>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旺苍县乡镇场镇</w:t>
            </w:r>
          </w:p>
        </w:tc>
        <w:tc>
          <w:tcPr>
            <w:tcW w:w="8532" w:type="dxa"/>
            <w:tcBorders>
              <w:top w:val="nil"/>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 xml:space="preserve">    负责贯彻执行农民工、社会治安综合治理工作的路线、方针、政策；负责开展对外劳务协作和劳务输出工作，促进农村富余劳动力转移就业等工作。</w:t>
            </w:r>
          </w:p>
        </w:tc>
      </w:tr>
      <w:tr>
        <w:tblPrEx>
          <w:tblCellMar>
            <w:top w:w="0" w:type="dxa"/>
            <w:left w:w="28" w:type="dxa"/>
            <w:bottom w:w="0" w:type="dxa"/>
            <w:right w:w="28" w:type="dxa"/>
          </w:tblCellMar>
        </w:tblPrEx>
        <w:trPr>
          <w:jc w:val="center"/>
        </w:trPr>
        <w:tc>
          <w:tcPr>
            <w:tcW w:w="2062"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旺苍县乡镇乡村建设和文化旅游服务中心</w:t>
            </w:r>
          </w:p>
        </w:tc>
        <w:tc>
          <w:tcPr>
            <w:tcW w:w="1080" w:type="dxa"/>
            <w:tcBorders>
              <w:top w:val="nil"/>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nil"/>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旺苍县乡镇场镇</w:t>
            </w:r>
          </w:p>
        </w:tc>
        <w:tc>
          <w:tcPr>
            <w:tcW w:w="8532" w:type="dxa"/>
            <w:tcBorders>
              <w:top w:val="nil"/>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负责乡村规划建设的事务性工作；负责指导农村住房建设；负责基础设施、公用设施、农村住房建设施工安全监管等相关工作。</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旺苍县东河镇乡村建设和文化服务中心</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旺苍县东河镇镇场镇</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乡村规划建设的事务性工作；负责指导农村住房建设；负责基础设施、公用设施、农村住房建设施工安全监管等相关工作；负责在群众中培育社会主义核心价值观、弘扬中华优秀传统文化，向城乡群众提供基本公共文化服务。</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旺苍县木门景区事务中心</w:t>
            </w:r>
          </w:p>
        </w:tc>
        <w:tc>
          <w:tcPr>
            <w:tcW w:w="108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 w:hAnsi="仿宋" w:eastAsia="仿宋" w:cs="仿宋"/>
                <w:sz w:val="22"/>
                <w:szCs w:val="22"/>
              </w:rPr>
            </w:pPr>
            <w:r>
              <w:rPr>
                <w:rFonts w:hint="eastAsia" w:ascii="仿宋" w:hAnsi="仿宋" w:eastAsia="仿宋" w:cs="仿宋"/>
                <w:sz w:val="22"/>
                <w:szCs w:val="22"/>
              </w:rPr>
              <w:t>旺苍县木门镇先念路62号</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jc w:val="left"/>
              <w:rPr>
                <w:rFonts w:ascii="仿宋" w:hAnsi="仿宋" w:eastAsia="仿宋" w:cs="仿宋"/>
                <w:sz w:val="22"/>
                <w:szCs w:val="22"/>
              </w:rPr>
            </w:pPr>
            <w:r>
              <w:rPr>
                <w:rFonts w:hint="eastAsia" w:ascii="仿宋" w:hAnsi="仿宋" w:eastAsia="仿宋" w:cs="仿宋"/>
                <w:sz w:val="22"/>
                <w:szCs w:val="22"/>
              </w:rPr>
              <w:t xml:space="preserve">     负责旅游公共服务、产业发展、资源保护、市场监管、形象推广事务性工作；负责木门景区（木门军事会议纪念馆）等管理工作。</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旺苍县高阳镇社会治安综合治理中心</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80" w:lineRule="exact"/>
              <w:jc w:val="left"/>
              <w:textAlignment w:val="center"/>
              <w:rPr>
                <w:rFonts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ascii="仿宋" w:hAnsi="仿宋" w:eastAsia="仿宋" w:cs="仿宋"/>
                <w:spacing w:val="-12"/>
                <w:sz w:val="22"/>
                <w:szCs w:val="22"/>
              </w:rPr>
            </w:pPr>
            <w:r>
              <w:rPr>
                <w:rFonts w:hint="eastAsia" w:ascii="仿宋" w:hAnsi="仿宋" w:eastAsia="仿宋" w:cs="仿宋"/>
                <w:spacing w:val="-12"/>
                <w:sz w:val="22"/>
                <w:szCs w:val="22"/>
              </w:rPr>
              <w:t>旺苍县高阳镇向阳村场镇</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ind w:firstLine="440" w:firstLineChars="200"/>
              <w:jc w:val="left"/>
              <w:rPr>
                <w:rFonts w:ascii="仿宋" w:hAnsi="仿宋" w:eastAsia="仿宋" w:cs="仿宋"/>
                <w:sz w:val="22"/>
                <w:szCs w:val="22"/>
              </w:rPr>
            </w:pPr>
            <w:r>
              <w:rPr>
                <w:rFonts w:hint="eastAsia" w:ascii="仿宋" w:hAnsi="仿宋" w:eastAsia="仿宋" w:cs="仿宋"/>
                <w:sz w:val="22"/>
                <w:szCs w:val="22"/>
              </w:rPr>
              <w:t>负责落实社会治安防控体系建设，组织开展治安巡防、预防青少年犯罪、刑释解教人员安置帮教、学校及周边地区治安整治、国家安全人民防线建设、反邪教、反暴恐等社会治安综合治理工作。</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firstLine="440" w:firstLineChars="200"/>
              <w:jc w:val="left"/>
              <w:textAlignment w:val="center"/>
              <w:rPr>
                <w:rFonts w:hint="eastAsia" w:ascii="仿宋" w:hAnsi="仿宋" w:eastAsia="仿宋" w:cs="仿宋"/>
                <w:sz w:val="22"/>
                <w:szCs w:val="22"/>
              </w:rPr>
            </w:pPr>
            <w:r>
              <w:rPr>
                <w:rFonts w:hint="eastAsia" w:ascii="仿宋" w:hAnsi="仿宋" w:eastAsia="仿宋" w:cs="仿宋"/>
                <w:sz w:val="22"/>
                <w:szCs w:val="22"/>
              </w:rPr>
              <w:t>旺苍县三江镇项目投资促进中心</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widowControl/>
              <w:spacing w:line="280" w:lineRule="exact"/>
              <w:ind w:firstLine="440" w:firstLineChars="200"/>
              <w:jc w:val="left"/>
              <w:textAlignment w:val="center"/>
              <w:rPr>
                <w:rFonts w:hint="eastAsia" w:ascii="仿宋" w:hAnsi="仿宋" w:eastAsia="仿宋" w:cs="仿宋"/>
                <w:sz w:val="22"/>
                <w:szCs w:val="22"/>
              </w:rPr>
            </w:pPr>
            <w:r>
              <w:rPr>
                <w:rFonts w:hint="eastAsia" w:ascii="仿宋" w:hAnsi="仿宋" w:eastAsia="仿宋" w:cs="仿宋"/>
                <w:sz w:val="22"/>
                <w:szCs w:val="22"/>
              </w:rPr>
              <w:t>三江镇场镇</w:t>
            </w:r>
          </w:p>
        </w:tc>
        <w:tc>
          <w:tcPr>
            <w:tcW w:w="8532" w:type="dxa"/>
            <w:tcBorders>
              <w:top w:val="single" w:color="auto" w:sz="4" w:space="0"/>
              <w:left w:val="nil"/>
              <w:bottom w:val="single" w:color="auto" w:sz="4" w:space="0"/>
              <w:right w:val="single" w:color="auto" w:sz="4" w:space="0"/>
            </w:tcBorders>
            <w:noWrap w:val="0"/>
            <w:vAlign w:val="center"/>
          </w:tcPr>
          <w:p>
            <w:pPr>
              <w:widowControl/>
              <w:spacing w:line="280" w:lineRule="exact"/>
              <w:ind w:firstLine="440" w:firstLineChars="200"/>
              <w:jc w:val="left"/>
              <w:textAlignment w:val="center"/>
              <w:rPr>
                <w:rFonts w:hint="eastAsia" w:ascii="仿宋" w:hAnsi="仿宋" w:eastAsia="仿宋" w:cs="仿宋"/>
                <w:sz w:val="22"/>
                <w:szCs w:val="22"/>
              </w:rPr>
            </w:pPr>
            <w:r>
              <w:rPr>
                <w:rFonts w:hint="eastAsia" w:ascii="仿宋" w:hAnsi="仿宋" w:eastAsia="仿宋" w:cs="仿宋"/>
                <w:sz w:val="22"/>
                <w:szCs w:val="22"/>
              </w:rPr>
              <w:t>负责辖区重大招商项目的策划、储备、推介、引进等工作；负责投资企业的投资接待、协调等工作。</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仿宋_GB2312" w:eastAsia="仿宋_GB2312"/>
                <w:sz w:val="22"/>
                <w:szCs w:val="22"/>
              </w:rPr>
            </w:pPr>
            <w:r>
              <w:rPr>
                <w:rFonts w:hint="eastAsia" w:ascii="仿宋" w:hAnsi="仿宋" w:eastAsia="仿宋" w:cs="仿宋"/>
                <w:kern w:val="0"/>
                <w:sz w:val="22"/>
                <w:szCs w:val="22"/>
                <w:lang w:bidi="ar"/>
              </w:rPr>
              <w:t>旺苍县普通高中</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ascii="仿宋_GB2312" w:eastAsia="仿宋_GB2312"/>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ascii="仿宋_GB2312" w:eastAsia="仿宋_GB2312"/>
                <w:sz w:val="22"/>
                <w:szCs w:val="22"/>
              </w:rPr>
            </w:pPr>
            <w:r>
              <w:rPr>
                <w:rFonts w:hint="eastAsia" w:ascii="仿宋" w:hAnsi="仿宋" w:eastAsia="仿宋" w:cs="仿宋"/>
                <w:kern w:val="0"/>
                <w:sz w:val="22"/>
                <w:szCs w:val="22"/>
                <w:lang w:bidi="ar"/>
              </w:rPr>
              <w:t>旺苍县城区</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ind w:firstLine="440" w:firstLineChars="200"/>
              <w:jc w:val="left"/>
              <w:rPr>
                <w:rFonts w:ascii="仿宋" w:hAnsi="仿宋" w:eastAsia="仿宋" w:cs="仿宋"/>
                <w:sz w:val="22"/>
                <w:szCs w:val="22"/>
              </w:rPr>
            </w:pPr>
            <w:r>
              <w:rPr>
                <w:rFonts w:hint="eastAsia" w:ascii="仿宋" w:hAnsi="仿宋" w:eastAsia="仿宋" w:cs="仿宋"/>
                <w:sz w:val="22"/>
                <w:szCs w:val="22"/>
              </w:rPr>
              <w:t>从事普通高中、初中教育等工作。</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仿宋_GB2312" w:eastAsia="仿宋_GB2312"/>
                <w:sz w:val="22"/>
                <w:szCs w:val="22"/>
              </w:rPr>
            </w:pPr>
            <w:r>
              <w:rPr>
                <w:rFonts w:hint="eastAsia" w:ascii="仿宋" w:hAnsi="仿宋" w:eastAsia="仿宋" w:cs="仿宋"/>
                <w:kern w:val="0"/>
                <w:sz w:val="22"/>
                <w:szCs w:val="22"/>
                <w:lang w:bidi="ar"/>
              </w:rPr>
              <w:t>旺苍县乡镇中小学（含九年制学校）</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ascii="仿宋_GB2312" w:eastAsia="仿宋_GB2312"/>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ascii="仿宋_GB2312" w:eastAsia="仿宋_GB2312"/>
                <w:sz w:val="22"/>
                <w:szCs w:val="22"/>
              </w:rPr>
            </w:pPr>
            <w:r>
              <w:rPr>
                <w:rFonts w:hint="eastAsia" w:ascii="仿宋" w:hAnsi="仿宋" w:eastAsia="仿宋" w:cs="仿宋"/>
                <w:kern w:val="0"/>
                <w:sz w:val="22"/>
                <w:szCs w:val="22"/>
                <w:lang w:bidi="ar"/>
              </w:rPr>
              <w:t>旺苍县乡镇街道</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ind w:firstLine="440" w:firstLineChars="200"/>
              <w:jc w:val="left"/>
              <w:rPr>
                <w:rFonts w:ascii="仿宋" w:hAnsi="仿宋" w:eastAsia="仿宋" w:cs="仿宋"/>
                <w:sz w:val="22"/>
                <w:szCs w:val="22"/>
              </w:rPr>
            </w:pPr>
            <w:r>
              <w:rPr>
                <w:rFonts w:hint="eastAsia" w:ascii="仿宋" w:hAnsi="仿宋" w:eastAsia="仿宋" w:cs="仿宋"/>
                <w:sz w:val="22"/>
                <w:szCs w:val="22"/>
              </w:rPr>
              <w:t>从事初中教育或从事初中教育、小学教育和学前教育工作。</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仿宋_GB2312" w:eastAsia="仿宋_GB2312"/>
                <w:sz w:val="22"/>
                <w:szCs w:val="22"/>
              </w:rPr>
            </w:pPr>
            <w:r>
              <w:rPr>
                <w:rFonts w:hint="eastAsia" w:ascii="仿宋" w:hAnsi="仿宋" w:eastAsia="仿宋" w:cs="仿宋"/>
                <w:kern w:val="0"/>
                <w:sz w:val="22"/>
                <w:szCs w:val="22"/>
                <w:lang w:bidi="ar"/>
              </w:rPr>
              <w:t>旺苍县乡镇小学附属幼儿园</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ascii="仿宋_GB2312" w:eastAsia="仿宋_GB2312"/>
                <w:sz w:val="22"/>
                <w:szCs w:val="22"/>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ascii="仿宋_GB2312" w:eastAsia="仿宋_GB2312"/>
                <w:sz w:val="22"/>
                <w:szCs w:val="22"/>
              </w:rPr>
            </w:pPr>
            <w:r>
              <w:rPr>
                <w:rFonts w:hint="eastAsia" w:ascii="仿宋" w:hAnsi="仿宋" w:eastAsia="仿宋" w:cs="仿宋"/>
                <w:kern w:val="0"/>
                <w:sz w:val="22"/>
                <w:szCs w:val="22"/>
                <w:lang w:bidi="ar"/>
              </w:rPr>
              <w:t>旺苍县乡镇街道</w:t>
            </w:r>
          </w:p>
        </w:tc>
        <w:tc>
          <w:tcPr>
            <w:tcW w:w="8532" w:type="dxa"/>
            <w:tcBorders>
              <w:top w:val="single" w:color="auto" w:sz="4" w:space="0"/>
              <w:left w:val="nil"/>
              <w:bottom w:val="single" w:color="auto" w:sz="4" w:space="0"/>
              <w:right w:val="single" w:color="auto" w:sz="4" w:space="0"/>
            </w:tcBorders>
            <w:noWrap w:val="0"/>
            <w:vAlign w:val="center"/>
          </w:tcPr>
          <w:p>
            <w:pPr>
              <w:spacing w:line="280" w:lineRule="exact"/>
              <w:ind w:firstLine="440" w:firstLineChars="200"/>
              <w:jc w:val="left"/>
              <w:rPr>
                <w:rFonts w:ascii="仿宋" w:hAnsi="仿宋" w:eastAsia="仿宋" w:cs="仿宋"/>
                <w:sz w:val="22"/>
                <w:szCs w:val="22"/>
              </w:rPr>
            </w:pPr>
            <w:r>
              <w:rPr>
                <w:rFonts w:hint="eastAsia" w:ascii="仿宋" w:hAnsi="仿宋" w:eastAsia="仿宋" w:cs="仿宋"/>
                <w:sz w:val="22"/>
                <w:szCs w:val="22"/>
              </w:rPr>
              <w:t>从事小学教育、学前教育工作</w:t>
            </w:r>
          </w:p>
        </w:tc>
      </w:tr>
      <w:tr>
        <w:tblPrEx>
          <w:tblCellMar>
            <w:top w:w="0" w:type="dxa"/>
            <w:left w:w="28" w:type="dxa"/>
            <w:bottom w:w="0" w:type="dxa"/>
            <w:right w:w="28" w:type="dxa"/>
          </w:tblCellMar>
        </w:tblPrEx>
        <w:trPr>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乡镇卫生院</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仿宋" w:hAnsi="仿宋" w:eastAsia="仿宋" w:cs="仿宋"/>
                <w:kern w:val="0"/>
                <w:sz w:val="22"/>
                <w:szCs w:val="22"/>
                <w:lang w:bidi="ar"/>
              </w:rPr>
            </w:pPr>
            <w:r>
              <w:rPr>
                <w:rFonts w:hint="eastAsia" w:ascii="仿宋" w:hAnsi="仿宋" w:eastAsia="仿宋" w:cs="仿宋"/>
                <w:sz w:val="22"/>
                <w:szCs w:val="22"/>
              </w:rPr>
              <w:t>全额拨款</w:t>
            </w:r>
          </w:p>
        </w:tc>
        <w:tc>
          <w:tcPr>
            <w:tcW w:w="226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乡镇所在场镇</w:t>
            </w:r>
          </w:p>
        </w:tc>
        <w:tc>
          <w:tcPr>
            <w:tcW w:w="8532"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负责从事基本医疗、急诊急救、疾病控制、妇幼保健、健康教育等工作，提供公共卫生服务、基本医疗服务和综合管理服务，指导村卫生站财会业务工作。</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A67E5"/>
    <w:rsid w:val="174A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Times New Roman" w:hAnsi="Times New Roman" w:eastAsia="仿宋_GB2312" w:cs="Times New Roman"/>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3005</Words>
  <Characters>3037</Characters>
  <Lines>0</Lines>
  <Paragraphs>0</Paragraphs>
  <TotalTime>1</TotalTime>
  <ScaleCrop>false</ScaleCrop>
  <LinksUpToDate>false</LinksUpToDate>
  <CharactersWithSpaces>3131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2022-04-22T09:21:00Z</dcterms:created>
  <dc:creator>Administrator</dc:creator>
  <cp:lastModifiedBy>Administrator</cp:lastModifiedBy>
  <dcterms:modified xsi:type="dcterms:W3CDTF">2022-04-22T09:23:05Z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88899EF87A6640958A209C7032AF32C1</vt:lpwstr>
  </property>
  <property fmtid="{D5CDD505-2E9C-101B-9397-08002B2CF9AE}" pid="4" name="commondata">
    <vt:lpwstr>eyJoZGlkIjoiZjkyN2Q5NGIyYjVkYzQ5YTNkOWU5NWQzN2VkYjI3YzYifQ==</vt:lpwstr>
  </property>
</Properties>
</file>