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eastAsia="黑体"/>
          <w:sz w:val="32"/>
          <w:szCs w:val="32"/>
        </w:rPr>
      </w:pPr>
      <w:r>
        <w:rPr>
          <w:rFonts w:hint="eastAsia" w:ascii="黑体" w:eastAsia="黑体"/>
          <w:sz w:val="32"/>
          <w:szCs w:val="32"/>
        </w:rPr>
        <w:t>附件4</w:t>
      </w:r>
    </w:p>
    <w:p>
      <w:pPr>
        <w:spacing w:line="540" w:lineRule="exact"/>
        <w:jc w:val="center"/>
        <w:rPr>
          <w:rFonts w:ascii="方正小标宋简体" w:eastAsia="方正小标宋简体"/>
          <w:b/>
          <w:sz w:val="44"/>
          <w:szCs w:val="44"/>
        </w:rPr>
      </w:pPr>
      <w:r>
        <w:rPr>
          <w:rFonts w:hint="eastAsia" w:ascii="方正小标宋简体" w:eastAsia="方正小标宋简体"/>
          <w:b/>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hint="eastAsia" w:eastAsia="仿宋_GB2312"/>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在规定时间内交县人事考试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20F04"/>
    <w:rsid w:val="7BF2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2022-04-22T09:31:00Z</dcterms:created>
  <dc:creator>Administrator</dc:creator>
  <cp:lastModifiedBy>Administrator</cp:lastModifiedBy>
  <dcterms:modified xsi:type="dcterms:W3CDTF">2022-04-22T09:31:58Z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96B643AFA9AA4BAAB0F2E0803547487D</vt:lpwstr>
  </property>
  <property fmtid="{D5CDD505-2E9C-101B-9397-08002B2CF9AE}" pid="4" name="commondata">
    <vt:lpwstr>eyJoZGlkIjoiZjkyN2Q5NGIyYjVkYzQ5YTNkOWU5NWQzN2VkYjI3YzYifQ==</vt:lpwstr>
  </property>
</Properties>
</file>