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附件4</w:t>
      </w:r>
    </w:p>
    <w:p>
      <w:pPr>
        <w:spacing w:line="576" w:lineRule="exact"/>
        <w:ind w:left="420" w:leftChars="200" w:right="420" w:rightChars="200"/>
        <w:jc w:val="center"/>
        <w:rPr>
          <w:rFonts w:eastAsia="方正小标宋简体"/>
          <w:w w:val="90"/>
          <w:sz w:val="44"/>
          <w:szCs w:val="44"/>
        </w:rPr>
      </w:pPr>
      <w:r>
        <w:rPr>
          <w:rFonts w:eastAsia="方正小标宋简体"/>
          <w:w w:val="90"/>
          <w:sz w:val="44"/>
          <w:szCs w:val="44"/>
        </w:rPr>
        <w:t>免收笔试费相关规定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具有下列情形之一者，可免收笔试费：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4.因疾病、意外灾难等原因，导致一时不能维持基本生活的特殊困难家庭考生。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B4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2022-04-25T01:43:07Z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