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left"/>
        <w:rPr>
          <w:rFonts w:hint="eastAsia" w:ascii="宋体" w:hAnsi="宋体" w:cs="宋体"/>
          <w:w w:val="85"/>
          <w:kern w:val="0"/>
          <w:sz w:val="32"/>
          <w:szCs w:val="32"/>
        </w:rPr>
      </w:pPr>
      <w:bookmarkStart w:id="0" w:name="_Toc6286_WPSOffice_Level1"/>
      <w:r>
        <w:rPr>
          <w:rFonts w:hint="eastAsia" w:ascii="楷体" w:hAnsi="楷体" w:eastAsia="楷体" w:cs="宋体"/>
          <w:w w:val="85"/>
          <w:kern w:val="0"/>
          <w:sz w:val="32"/>
          <w:szCs w:val="32"/>
        </w:rPr>
        <w:t>附件</w:t>
      </w:r>
      <w:r>
        <w:rPr>
          <w:rFonts w:ascii="楷体" w:hAnsi="楷体" w:eastAsia="楷体" w:cs="宋体"/>
          <w:w w:val="85"/>
          <w:kern w:val="0"/>
          <w:sz w:val="32"/>
          <w:szCs w:val="32"/>
        </w:rPr>
        <w:t>1</w:t>
      </w:r>
      <w:r>
        <w:rPr>
          <w:rFonts w:hint="eastAsia" w:ascii="宋体" w:hAnsi="宋体" w:cs="宋体"/>
          <w:w w:val="85"/>
          <w:kern w:val="0"/>
          <w:sz w:val="32"/>
          <w:szCs w:val="32"/>
        </w:rPr>
        <w:t>：</w:t>
      </w:r>
    </w:p>
    <w:p>
      <w:pPr>
        <w:adjustRightInd w:val="0"/>
        <w:snapToGrid w:val="0"/>
        <w:spacing w:line="640" w:lineRule="exact"/>
        <w:jc w:val="center"/>
        <w:rPr>
          <w:rFonts w:hint="eastAsia" w:ascii="方正小标宋简体" w:hAnsi="方正小标宋简体" w:eastAsia="方正小标宋简体" w:cs="方正小标宋简体"/>
          <w:b w:val="0"/>
          <w:bCs/>
          <w:w w:val="85"/>
          <w:kern w:val="0"/>
          <w:sz w:val="44"/>
          <w:szCs w:val="44"/>
        </w:rPr>
      </w:pPr>
      <w:r>
        <w:rPr>
          <w:rFonts w:hint="eastAsia" w:ascii="方正小标宋简体" w:hAnsi="方正小标宋简体" w:eastAsia="方正小标宋简体" w:cs="方正小标宋简体"/>
          <w:b w:val="0"/>
          <w:bCs/>
          <w:w w:val="85"/>
          <w:kern w:val="0"/>
          <w:sz w:val="44"/>
          <w:szCs w:val="44"/>
        </w:rPr>
        <w:t>厦门市</w:t>
      </w:r>
      <w:r>
        <w:rPr>
          <w:rFonts w:hint="eastAsia" w:ascii="方正小标宋简体" w:hAnsi="方正小标宋简体" w:eastAsia="方正小标宋简体" w:cs="方正小标宋简体"/>
          <w:b w:val="0"/>
          <w:bCs/>
          <w:w w:val="85"/>
          <w:kern w:val="0"/>
          <w:sz w:val="44"/>
          <w:szCs w:val="44"/>
          <w:lang w:val="en-US" w:eastAsia="zh-Hans"/>
        </w:rPr>
        <w:t>集美</w:t>
      </w:r>
      <w:r>
        <w:rPr>
          <w:rFonts w:hint="eastAsia" w:ascii="方正小标宋简体" w:hAnsi="方正小标宋简体" w:eastAsia="方正小标宋简体" w:cs="方正小标宋简体"/>
          <w:b w:val="0"/>
          <w:bCs/>
          <w:w w:val="85"/>
          <w:kern w:val="0"/>
          <w:sz w:val="44"/>
          <w:szCs w:val="44"/>
        </w:rPr>
        <w:t>区所属事业单位</w:t>
      </w:r>
      <w:r>
        <w:rPr>
          <w:rFonts w:hint="eastAsia" w:ascii="方正小标宋简体" w:hAnsi="方正小标宋简体" w:eastAsia="方正小标宋简体" w:cs="方正小标宋简体"/>
          <w:b w:val="0"/>
          <w:bCs/>
          <w:w w:val="85"/>
          <w:kern w:val="0"/>
          <w:sz w:val="44"/>
          <w:szCs w:val="44"/>
          <w:lang w:eastAsia="zh-CN"/>
        </w:rPr>
        <w:t>公开</w:t>
      </w:r>
      <w:r>
        <w:rPr>
          <w:rFonts w:hint="eastAsia" w:ascii="方正小标宋简体" w:hAnsi="方正小标宋简体" w:eastAsia="方正小标宋简体" w:cs="方正小标宋简体"/>
          <w:b w:val="0"/>
          <w:bCs/>
          <w:w w:val="85"/>
          <w:kern w:val="0"/>
          <w:sz w:val="44"/>
          <w:szCs w:val="44"/>
        </w:rPr>
        <w:t>招聘编内卫生</w:t>
      </w:r>
      <w:r>
        <w:rPr>
          <w:rFonts w:hint="eastAsia" w:ascii="方正小标宋简体" w:hAnsi="方正小标宋简体" w:eastAsia="方正小标宋简体" w:cs="方正小标宋简体"/>
          <w:b w:val="0"/>
          <w:bCs/>
          <w:w w:val="85"/>
          <w:kern w:val="0"/>
          <w:sz w:val="44"/>
          <w:szCs w:val="44"/>
          <w:lang w:val="en-US" w:eastAsia="zh-Hans"/>
        </w:rPr>
        <w:t>技术</w:t>
      </w:r>
      <w:r>
        <w:rPr>
          <w:rFonts w:hint="eastAsia" w:ascii="方正小标宋简体" w:hAnsi="方正小标宋简体" w:eastAsia="方正小标宋简体" w:cs="方正小标宋简体"/>
          <w:b w:val="0"/>
          <w:bCs/>
          <w:w w:val="85"/>
          <w:kern w:val="0"/>
          <w:sz w:val="44"/>
          <w:szCs w:val="44"/>
        </w:rPr>
        <w:t>人员报考</w:t>
      </w:r>
      <w:r>
        <w:rPr>
          <w:rFonts w:hint="eastAsia" w:ascii="方正小标宋简体" w:hAnsi="方正小标宋简体" w:eastAsia="方正小标宋简体" w:cs="方正小标宋简体"/>
          <w:b w:val="0"/>
          <w:bCs/>
          <w:w w:val="85"/>
          <w:kern w:val="0"/>
          <w:sz w:val="44"/>
          <w:szCs w:val="44"/>
          <w:lang w:eastAsia="zh-CN"/>
        </w:rPr>
        <w:t>须知</w:t>
      </w:r>
      <w:r>
        <w:rPr>
          <w:rFonts w:hint="eastAsia" w:ascii="方正小标宋简体" w:hAnsi="方正小标宋简体" w:eastAsia="方正小标宋简体" w:cs="方正小标宋简体"/>
          <w:b w:val="0"/>
          <w:bCs/>
          <w:w w:val="85"/>
          <w:kern w:val="0"/>
          <w:sz w:val="44"/>
          <w:szCs w:val="44"/>
        </w:rPr>
        <w:t>（</w:t>
      </w:r>
      <w:r>
        <w:rPr>
          <w:rFonts w:hint="eastAsia" w:ascii="方正小标宋简体" w:hAnsi="方正小标宋简体" w:eastAsia="方正小标宋简体" w:cs="方正小标宋简体"/>
          <w:b w:val="0"/>
          <w:bCs/>
          <w:w w:val="85"/>
          <w:kern w:val="0"/>
          <w:sz w:val="44"/>
          <w:szCs w:val="44"/>
          <w:lang w:eastAsia="zh-CN"/>
        </w:rPr>
        <w:t>2022年</w:t>
      </w:r>
      <w:r>
        <w:rPr>
          <w:rFonts w:hint="eastAsia" w:ascii="方正小标宋简体" w:hAnsi="方正小标宋简体" w:eastAsia="方正小标宋简体" w:cs="方正小标宋简体"/>
          <w:b w:val="0"/>
          <w:bCs/>
          <w:w w:val="85"/>
          <w:kern w:val="0"/>
          <w:sz w:val="44"/>
          <w:szCs w:val="44"/>
          <w:lang w:val="en-US" w:eastAsia="zh-CN"/>
        </w:rPr>
        <w:t>4</w:t>
      </w:r>
      <w:r>
        <w:rPr>
          <w:rFonts w:hint="eastAsia" w:ascii="方正小标宋简体" w:hAnsi="方正小标宋简体" w:eastAsia="方正小标宋简体" w:cs="方正小标宋简体"/>
          <w:b w:val="0"/>
          <w:bCs/>
          <w:w w:val="85"/>
          <w:kern w:val="0"/>
          <w:sz w:val="44"/>
          <w:szCs w:val="44"/>
          <w:lang w:eastAsia="zh-CN"/>
        </w:rPr>
        <w:t>月</w:t>
      </w:r>
      <w:r>
        <w:rPr>
          <w:rFonts w:hint="eastAsia" w:ascii="方正小标宋简体" w:hAnsi="方正小标宋简体" w:eastAsia="方正小标宋简体" w:cs="方正小标宋简体"/>
          <w:b w:val="0"/>
          <w:bCs/>
          <w:w w:val="85"/>
          <w:kern w:val="0"/>
          <w:sz w:val="44"/>
          <w:szCs w:val="44"/>
        </w:rPr>
        <w:t>）</w:t>
      </w:r>
      <w:bookmarkEnd w:id="0"/>
    </w:p>
    <w:p>
      <w:pPr>
        <w:adjustRightInd w:val="0"/>
        <w:snapToGrid w:val="0"/>
        <w:spacing w:beforeLines="50" w:line="640" w:lineRule="exact"/>
        <w:jc w:val="center"/>
        <w:rPr>
          <w:rFonts w:hint="eastAsia" w:ascii="仿宋_GB2312" w:hAnsi="仿宋_GB2312" w:eastAsia="仿宋_GB2312" w:cs="仿宋_GB2312"/>
          <w:b/>
          <w:bCs w:val="0"/>
          <w:w w:val="85"/>
          <w:kern w:val="0"/>
          <w:sz w:val="44"/>
          <w:szCs w:val="44"/>
        </w:rPr>
      </w:pPr>
      <w:r>
        <w:rPr>
          <w:rFonts w:hint="eastAsia" w:ascii="仿宋_GB2312" w:hAnsi="仿宋_GB2312" w:eastAsia="仿宋_GB2312" w:cs="仿宋_GB2312"/>
          <w:b/>
          <w:bCs w:val="0"/>
          <w:w w:val="85"/>
          <w:kern w:val="0"/>
          <w:sz w:val="44"/>
          <w:szCs w:val="44"/>
        </w:rPr>
        <w:t>目  录</w:t>
      </w:r>
    </w:p>
    <w:p>
      <w:pPr>
        <w:adjustRightInd w:val="0"/>
        <w:snapToGrid w:val="0"/>
        <w:spacing w:line="360" w:lineRule="auto"/>
        <w:jc w:val="center"/>
        <w:rPr>
          <w:sz w:val="24"/>
          <w:szCs w:val="24"/>
        </w:rPr>
      </w:pPr>
    </w:p>
    <w:p>
      <w:pPr>
        <w:pStyle w:val="7"/>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TOC \o "1-3" \h \u </w:instrText>
      </w:r>
      <w:r>
        <w:fldChar w:fldCharType="separate"/>
      </w:r>
      <w:r>
        <w:fldChar w:fldCharType="begin"/>
      </w:r>
      <w:r>
        <w:instrText xml:space="preserve"> HYPERLINK \l _Toc17926 </w:instrText>
      </w:r>
      <w:r>
        <w:fldChar w:fldCharType="separate"/>
      </w:r>
      <w:r>
        <w:rPr>
          <w:rFonts w:hint="eastAsia" w:ascii="黑体" w:hAnsi="黑体" w:eastAsia="黑体" w:cs="黑体"/>
          <w:bCs w:val="0"/>
          <w:szCs w:val="30"/>
          <w:highlight w:val="none"/>
          <w:lang w:eastAsia="zh-CN"/>
        </w:rPr>
        <w:t>一、</w:t>
      </w:r>
      <w:r>
        <w:rPr>
          <w:rFonts w:hint="eastAsia" w:ascii="黑体" w:hAnsi="黑体" w:eastAsia="黑体" w:cs="黑体"/>
          <w:bCs w:val="0"/>
          <w:szCs w:val="30"/>
          <w:highlight w:val="none"/>
        </w:rPr>
        <w:t>基本条件</w:t>
      </w:r>
      <w:r>
        <w:tab/>
      </w:r>
      <w:r>
        <w:fldChar w:fldCharType="begin"/>
      </w:r>
      <w:r>
        <w:instrText xml:space="preserve"> PAGEREF _Toc17926 </w:instrText>
      </w:r>
      <w:r>
        <w:fldChar w:fldCharType="separate"/>
      </w:r>
      <w:r>
        <w:t>3</w:t>
      </w:r>
      <w:r>
        <w:fldChar w:fldCharType="end"/>
      </w:r>
      <w:r>
        <w:fldChar w:fldCharType="end"/>
      </w:r>
    </w:p>
    <w:p>
      <w:pPr>
        <w:pStyle w:val="7"/>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_Toc14170 </w:instrText>
      </w:r>
      <w:r>
        <w:fldChar w:fldCharType="separate"/>
      </w:r>
      <w:r>
        <w:rPr>
          <w:rFonts w:hint="eastAsia" w:ascii="黑体" w:hAnsi="黑体" w:eastAsia="黑体" w:cs="黑体"/>
          <w:bCs w:val="0"/>
          <w:szCs w:val="30"/>
          <w:highlight w:val="none"/>
          <w:lang w:eastAsia="zh-CN"/>
        </w:rPr>
        <w:t>二、</w:t>
      </w:r>
      <w:r>
        <w:rPr>
          <w:rFonts w:hint="eastAsia" w:ascii="黑体" w:hAnsi="黑体" w:eastAsia="黑体" w:cs="黑体"/>
          <w:bCs w:val="0"/>
          <w:szCs w:val="30"/>
          <w:highlight w:val="none"/>
        </w:rPr>
        <w:t>不得报考或取消报考（聘用）资格的情形</w:t>
      </w:r>
      <w:r>
        <w:tab/>
      </w:r>
      <w:r>
        <w:fldChar w:fldCharType="begin"/>
      </w:r>
      <w:r>
        <w:instrText xml:space="preserve"> PAGEREF _Toc14170 </w:instrText>
      </w:r>
      <w:r>
        <w:fldChar w:fldCharType="separate"/>
      </w:r>
      <w:r>
        <w:t>3</w:t>
      </w:r>
      <w:r>
        <w:fldChar w:fldCharType="end"/>
      </w:r>
      <w:r>
        <w:fldChar w:fldCharType="end"/>
      </w:r>
    </w:p>
    <w:p>
      <w:pPr>
        <w:pStyle w:val="7"/>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_Toc26550 </w:instrText>
      </w:r>
      <w:r>
        <w:fldChar w:fldCharType="separate"/>
      </w:r>
      <w:r>
        <w:rPr>
          <w:rFonts w:hint="eastAsia" w:ascii="黑体" w:hAnsi="黑体" w:eastAsia="黑体" w:cs="黑体"/>
          <w:bCs w:val="0"/>
          <w:szCs w:val="30"/>
          <w:highlight w:val="none"/>
          <w:lang w:eastAsia="zh-CN"/>
        </w:rPr>
        <w:t>三、</w:t>
      </w:r>
      <w:r>
        <w:rPr>
          <w:rFonts w:hint="eastAsia" w:ascii="黑体" w:hAnsi="黑体" w:eastAsia="黑体" w:cs="黑体"/>
          <w:bCs w:val="0"/>
          <w:szCs w:val="30"/>
          <w:highlight w:val="none"/>
        </w:rPr>
        <w:t>选报岗位</w:t>
      </w:r>
      <w:r>
        <w:tab/>
      </w:r>
      <w:r>
        <w:fldChar w:fldCharType="begin"/>
      </w:r>
      <w:r>
        <w:instrText xml:space="preserve"> PAGEREF _Toc26550 </w:instrText>
      </w:r>
      <w:r>
        <w:fldChar w:fldCharType="separate"/>
      </w:r>
      <w:r>
        <w:t>4</w:t>
      </w:r>
      <w:r>
        <w:fldChar w:fldCharType="end"/>
      </w:r>
      <w: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_Toc1990 </w:instrText>
      </w:r>
      <w:r>
        <w:fldChar w:fldCharType="separate"/>
      </w:r>
      <w:r>
        <w:rPr>
          <w:rFonts w:hint="eastAsia" w:ascii="仿宋_GB2312" w:hAnsi="仿宋_GB2312" w:eastAsia="仿宋_GB2312" w:cs="仿宋_GB2312"/>
          <w:szCs w:val="30"/>
          <w:highlight w:val="none"/>
        </w:rPr>
        <w:t>（一）报考条件确认</w:t>
      </w:r>
      <w:r>
        <w:tab/>
      </w:r>
      <w:r>
        <w:fldChar w:fldCharType="begin"/>
      </w:r>
      <w:r>
        <w:instrText xml:space="preserve"> PAGEREF _Toc1990 </w:instrText>
      </w:r>
      <w:r>
        <w:fldChar w:fldCharType="separate"/>
      </w:r>
      <w:r>
        <w:t>4</w:t>
      </w:r>
      <w:r>
        <w:fldChar w:fldCharType="end"/>
      </w:r>
      <w: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_Toc6557 </w:instrText>
      </w:r>
      <w:r>
        <w:fldChar w:fldCharType="separate"/>
      </w:r>
      <w:r>
        <w:rPr>
          <w:rFonts w:hint="eastAsia" w:ascii="仿宋_GB2312" w:hAnsi="仿宋_GB2312" w:eastAsia="仿宋_GB2312" w:cs="仿宋_GB2312"/>
          <w:szCs w:val="30"/>
          <w:highlight w:val="none"/>
        </w:rPr>
        <w:t>（二）照片要求</w:t>
      </w:r>
      <w:bookmarkStart w:id="115" w:name="_GoBack"/>
      <w:bookmarkEnd w:id="115"/>
      <w:r>
        <w:tab/>
      </w:r>
      <w:r>
        <w:fldChar w:fldCharType="begin"/>
      </w:r>
      <w:r>
        <w:instrText xml:space="preserve"> PAGEREF _Toc6557 </w:instrText>
      </w:r>
      <w:r>
        <w:fldChar w:fldCharType="separate"/>
      </w:r>
      <w:r>
        <w:t>5</w:t>
      </w:r>
      <w:r>
        <w:fldChar w:fldCharType="end"/>
      </w:r>
      <w: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_Toc15794 </w:instrText>
      </w:r>
      <w:r>
        <w:fldChar w:fldCharType="separate"/>
      </w:r>
      <w:r>
        <w:rPr>
          <w:rFonts w:hint="eastAsia" w:ascii="仿宋_GB2312" w:hAnsi="仿宋_GB2312" w:eastAsia="仿宋_GB2312" w:cs="Times New Roman"/>
          <w:szCs w:val="30"/>
        </w:rPr>
        <w:t xml:space="preserve">（三） </w:t>
      </w:r>
      <w:r>
        <w:rPr>
          <w:rFonts w:hint="eastAsia" w:ascii="仿宋_GB2312" w:hAnsi="仿宋_GB2312" w:eastAsia="仿宋_GB2312" w:cs="仿宋_GB2312"/>
          <w:szCs w:val="30"/>
          <w:highlight w:val="none"/>
        </w:rPr>
        <w:t>个人简历</w:t>
      </w:r>
      <w:r>
        <w:tab/>
      </w:r>
      <w:r>
        <w:fldChar w:fldCharType="begin"/>
      </w:r>
      <w:r>
        <w:instrText xml:space="preserve"> PAGEREF _Toc15794 </w:instrText>
      </w:r>
      <w:r>
        <w:fldChar w:fldCharType="separate"/>
      </w:r>
      <w:r>
        <w:t>5</w:t>
      </w:r>
      <w:r>
        <w:fldChar w:fldCharType="end"/>
      </w:r>
      <w: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_Toc30108 </w:instrText>
      </w:r>
      <w:r>
        <w:fldChar w:fldCharType="separate"/>
      </w:r>
      <w:r>
        <w:rPr>
          <w:rFonts w:hint="eastAsia" w:ascii="仿宋_GB2312" w:hAnsi="仿宋_GB2312" w:eastAsia="仿宋_GB2312" w:cs="仿宋_GB2312"/>
          <w:szCs w:val="30"/>
          <w:highlight w:val="none"/>
        </w:rPr>
        <w:t>（</w:t>
      </w:r>
      <w:r>
        <w:rPr>
          <w:rFonts w:hint="eastAsia" w:ascii="仿宋_GB2312" w:hAnsi="仿宋_GB2312" w:eastAsia="仿宋_GB2312" w:cs="仿宋_GB2312"/>
          <w:szCs w:val="30"/>
          <w:highlight w:val="none"/>
          <w:lang w:val="en-US" w:eastAsia="zh-Hans"/>
        </w:rPr>
        <w:t>四</w:t>
      </w:r>
      <w:r>
        <w:rPr>
          <w:rFonts w:hint="eastAsia" w:ascii="仿宋_GB2312" w:hAnsi="仿宋_GB2312" w:eastAsia="仿宋_GB2312" w:cs="仿宋_GB2312"/>
          <w:szCs w:val="30"/>
          <w:highlight w:val="none"/>
        </w:rPr>
        <w:t>）回避情形</w:t>
      </w:r>
      <w:r>
        <w:tab/>
      </w:r>
      <w:r>
        <w:fldChar w:fldCharType="begin"/>
      </w:r>
      <w:r>
        <w:instrText xml:space="preserve"> PAGEREF _Toc30108 </w:instrText>
      </w:r>
      <w:r>
        <w:fldChar w:fldCharType="separate"/>
      </w:r>
      <w:r>
        <w:t>6</w:t>
      </w:r>
      <w:r>
        <w:fldChar w:fldCharType="end"/>
      </w:r>
      <w:r>
        <w:fldChar w:fldCharType="end"/>
      </w:r>
    </w:p>
    <w:p>
      <w:pPr>
        <w:pStyle w:val="7"/>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_Toc3728 </w:instrText>
      </w:r>
      <w:r>
        <w:fldChar w:fldCharType="separate"/>
      </w:r>
      <w:r>
        <w:rPr>
          <w:rFonts w:hint="eastAsia" w:ascii="黑体" w:hAnsi="黑体" w:eastAsia="黑体" w:cs="黑体"/>
          <w:bCs w:val="0"/>
          <w:szCs w:val="30"/>
          <w:highlight w:val="none"/>
          <w:lang w:eastAsia="zh-CN"/>
        </w:rPr>
        <w:t>四、</w:t>
      </w:r>
      <w:r>
        <w:rPr>
          <w:rFonts w:hint="eastAsia" w:ascii="黑体" w:hAnsi="黑体" w:eastAsia="黑体" w:cs="黑体"/>
          <w:bCs w:val="0"/>
          <w:szCs w:val="30"/>
          <w:highlight w:val="none"/>
        </w:rPr>
        <w:t>年龄、资格（历）等的计算办法</w:t>
      </w:r>
      <w:r>
        <w:tab/>
      </w:r>
      <w:r>
        <w:fldChar w:fldCharType="begin"/>
      </w:r>
      <w:r>
        <w:instrText xml:space="preserve"> PAGEREF _Toc3728 </w:instrText>
      </w:r>
      <w:r>
        <w:fldChar w:fldCharType="separate"/>
      </w:r>
      <w:r>
        <w:t>7</w:t>
      </w:r>
      <w:r>
        <w:fldChar w:fldCharType="end"/>
      </w:r>
      <w: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_Toc14858 </w:instrText>
      </w:r>
      <w:r>
        <w:fldChar w:fldCharType="separate"/>
      </w:r>
      <w:r>
        <w:rPr>
          <w:rFonts w:hint="eastAsia" w:ascii="仿宋_GB2312" w:hAnsi="仿宋_GB2312" w:eastAsia="仿宋_GB2312" w:cs="Times New Roman"/>
          <w:bCs/>
          <w:szCs w:val="30"/>
        </w:rPr>
        <w:t xml:space="preserve">（一） </w:t>
      </w:r>
      <w:r>
        <w:rPr>
          <w:rFonts w:hint="eastAsia" w:ascii="仿宋_GB2312" w:hAnsi="仿宋_GB2312" w:eastAsia="仿宋_GB2312" w:cs="仿宋_GB2312"/>
          <w:bCs/>
          <w:szCs w:val="30"/>
          <w:highlight w:val="none"/>
        </w:rPr>
        <w:t>年龄</w:t>
      </w:r>
      <w:r>
        <w:tab/>
      </w:r>
      <w:r>
        <w:fldChar w:fldCharType="begin"/>
      </w:r>
      <w:r>
        <w:instrText xml:space="preserve"> PAGEREF _Toc14858 </w:instrText>
      </w:r>
      <w:r>
        <w:fldChar w:fldCharType="separate"/>
      </w:r>
      <w:r>
        <w:t>7</w:t>
      </w:r>
      <w:r>
        <w:fldChar w:fldCharType="end"/>
      </w:r>
      <w: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_Toc27466 </w:instrText>
      </w:r>
      <w:r>
        <w:fldChar w:fldCharType="separate"/>
      </w:r>
      <w:r>
        <w:rPr>
          <w:rFonts w:hint="eastAsia" w:ascii="仿宋_GB2312" w:hAnsi="仿宋_GB2312" w:eastAsia="仿宋_GB2312" w:cs="Times New Roman"/>
          <w:bCs/>
          <w:szCs w:val="30"/>
        </w:rPr>
        <w:t xml:space="preserve">（二） </w:t>
      </w:r>
      <w:r>
        <w:rPr>
          <w:rFonts w:hint="eastAsia" w:ascii="仿宋_GB2312" w:hAnsi="仿宋_GB2312" w:eastAsia="仿宋_GB2312" w:cs="仿宋_GB2312"/>
          <w:bCs/>
          <w:szCs w:val="30"/>
          <w:highlight w:val="none"/>
        </w:rPr>
        <w:t>资格（历）等</w:t>
      </w:r>
      <w:r>
        <w:tab/>
      </w:r>
      <w:r>
        <w:fldChar w:fldCharType="begin"/>
      </w:r>
      <w:r>
        <w:instrText xml:space="preserve"> PAGEREF _Toc27466 </w:instrText>
      </w:r>
      <w:r>
        <w:fldChar w:fldCharType="separate"/>
      </w:r>
      <w:r>
        <w:t>7</w:t>
      </w:r>
      <w:r>
        <w:fldChar w:fldCharType="end"/>
      </w:r>
      <w:r>
        <w:fldChar w:fldCharType="end"/>
      </w:r>
    </w:p>
    <w:p>
      <w:pPr>
        <w:pStyle w:val="7"/>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_Toc14449 </w:instrText>
      </w:r>
      <w:r>
        <w:fldChar w:fldCharType="separate"/>
      </w:r>
      <w:r>
        <w:rPr>
          <w:rFonts w:hint="eastAsia" w:ascii="黑体" w:hAnsi="黑体" w:eastAsia="黑体" w:cs="黑体"/>
          <w:bCs w:val="0"/>
          <w:szCs w:val="30"/>
          <w:highlight w:val="none"/>
          <w:lang w:eastAsia="zh-CN"/>
        </w:rPr>
        <w:t>五、</w:t>
      </w:r>
      <w:r>
        <w:rPr>
          <w:rFonts w:hint="eastAsia" w:ascii="黑体" w:hAnsi="黑体" w:eastAsia="黑体" w:cs="黑体"/>
          <w:bCs w:val="0"/>
          <w:szCs w:val="30"/>
          <w:highlight w:val="none"/>
        </w:rPr>
        <w:t>学历（位）认定</w:t>
      </w:r>
      <w:r>
        <w:tab/>
      </w:r>
      <w:r>
        <w:fldChar w:fldCharType="begin"/>
      </w:r>
      <w:r>
        <w:instrText xml:space="preserve"> PAGEREF _Toc14449 </w:instrText>
      </w:r>
      <w:r>
        <w:fldChar w:fldCharType="separate"/>
      </w:r>
      <w:r>
        <w:t>7</w:t>
      </w:r>
      <w:r>
        <w:fldChar w:fldCharType="end"/>
      </w:r>
      <w: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_Toc31356 </w:instrText>
      </w:r>
      <w:r>
        <w:fldChar w:fldCharType="separate"/>
      </w:r>
      <w:r>
        <w:rPr>
          <w:rFonts w:hint="eastAsia" w:ascii="仿宋_GB2312" w:hAnsi="仿宋_GB2312" w:eastAsia="仿宋_GB2312" w:cs="仿宋_GB2312"/>
          <w:szCs w:val="30"/>
          <w:highlight w:val="none"/>
        </w:rPr>
        <w:t>（</w:t>
      </w:r>
      <w:r>
        <w:rPr>
          <w:rFonts w:hint="eastAsia" w:ascii="仿宋_GB2312" w:hAnsi="仿宋_GB2312" w:eastAsia="仿宋_GB2312" w:cs="仿宋_GB2312"/>
          <w:szCs w:val="30"/>
          <w:highlight w:val="none"/>
          <w:lang w:eastAsia="zh-CN"/>
        </w:rPr>
        <w:t>一</w:t>
      </w:r>
      <w:r>
        <w:rPr>
          <w:rFonts w:hint="eastAsia" w:ascii="仿宋_GB2312" w:hAnsi="仿宋_GB2312" w:eastAsia="仿宋_GB2312" w:cs="仿宋_GB2312"/>
          <w:szCs w:val="30"/>
          <w:highlight w:val="none"/>
        </w:rPr>
        <w:t>）境内学历（位）</w:t>
      </w:r>
      <w:r>
        <w:tab/>
      </w:r>
      <w:r>
        <w:fldChar w:fldCharType="begin"/>
      </w:r>
      <w:r>
        <w:instrText xml:space="preserve"> PAGEREF _Toc31356 </w:instrText>
      </w:r>
      <w:r>
        <w:fldChar w:fldCharType="separate"/>
      </w:r>
      <w:r>
        <w:t>7</w:t>
      </w:r>
      <w:r>
        <w:fldChar w:fldCharType="end"/>
      </w:r>
      <w: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_Toc4937 </w:instrText>
      </w:r>
      <w:r>
        <w:fldChar w:fldCharType="separate"/>
      </w:r>
      <w:r>
        <w:rPr>
          <w:rFonts w:hint="eastAsia" w:ascii="仿宋_GB2312" w:hAnsi="仿宋_GB2312" w:eastAsia="仿宋_GB2312" w:cs="仿宋_GB2312"/>
          <w:szCs w:val="30"/>
          <w:highlight w:val="none"/>
        </w:rPr>
        <w:t>（二）</w:t>
      </w:r>
      <w:r>
        <w:rPr>
          <w:rFonts w:hint="eastAsia" w:ascii="仿宋_GB2312" w:hAnsi="仿宋_GB2312" w:eastAsia="仿宋_GB2312" w:cs="仿宋_GB2312"/>
          <w:szCs w:val="30"/>
          <w:highlight w:val="none"/>
          <w:lang w:eastAsia="zh-CN"/>
        </w:rPr>
        <w:t>国（境）外</w:t>
      </w:r>
      <w:r>
        <w:rPr>
          <w:rFonts w:hint="eastAsia" w:ascii="仿宋_GB2312" w:hAnsi="仿宋_GB2312" w:eastAsia="仿宋_GB2312" w:cs="仿宋_GB2312"/>
          <w:szCs w:val="30"/>
          <w:highlight w:val="none"/>
        </w:rPr>
        <w:t>学历</w:t>
      </w:r>
      <w:r>
        <w:rPr>
          <w:rFonts w:hint="eastAsia" w:ascii="仿宋_GB2312" w:hAnsi="仿宋_GB2312" w:eastAsia="仿宋_GB2312" w:cs="仿宋_GB2312"/>
          <w:szCs w:val="30"/>
          <w:highlight w:val="none"/>
          <w:lang w:eastAsia="zh-CN"/>
        </w:rPr>
        <w:t>（位）</w:t>
      </w:r>
      <w:r>
        <w:tab/>
      </w:r>
      <w:r>
        <w:fldChar w:fldCharType="begin"/>
      </w:r>
      <w:r>
        <w:instrText xml:space="preserve"> PAGEREF _Toc4937 </w:instrText>
      </w:r>
      <w:r>
        <w:fldChar w:fldCharType="separate"/>
      </w:r>
      <w:r>
        <w:t>8</w:t>
      </w:r>
      <w:r>
        <w:fldChar w:fldCharType="end"/>
      </w:r>
      <w: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_Toc22980 </w:instrText>
      </w:r>
      <w:r>
        <w:fldChar w:fldCharType="separate"/>
      </w:r>
      <w:r>
        <w:rPr>
          <w:rFonts w:hint="eastAsia" w:ascii="仿宋_GB2312" w:hAnsi="仿宋_GB2312" w:eastAsia="仿宋_GB2312" w:cs="仿宋_GB2312"/>
          <w:szCs w:val="30"/>
          <w:highlight w:val="none"/>
        </w:rPr>
        <w:t>（</w:t>
      </w:r>
      <w:r>
        <w:rPr>
          <w:rFonts w:hint="eastAsia" w:ascii="仿宋_GB2312" w:hAnsi="仿宋_GB2312" w:eastAsia="仿宋_GB2312" w:cs="仿宋_GB2312"/>
          <w:szCs w:val="30"/>
          <w:highlight w:val="none"/>
          <w:lang w:eastAsia="zh-CN"/>
        </w:rPr>
        <w:t>三</w:t>
      </w:r>
      <w:r>
        <w:rPr>
          <w:rFonts w:hint="eastAsia" w:ascii="仿宋_GB2312" w:hAnsi="仿宋_GB2312" w:eastAsia="仿宋_GB2312" w:cs="仿宋_GB2312"/>
          <w:szCs w:val="30"/>
          <w:highlight w:val="none"/>
        </w:rPr>
        <w:t>）我省“双学位”“双专业”学历</w:t>
      </w:r>
      <w:r>
        <w:tab/>
      </w:r>
      <w:r>
        <w:fldChar w:fldCharType="begin"/>
      </w:r>
      <w:r>
        <w:instrText xml:space="preserve"> PAGEREF _Toc22980 </w:instrText>
      </w:r>
      <w:r>
        <w:fldChar w:fldCharType="separate"/>
      </w:r>
      <w:r>
        <w:t>8</w:t>
      </w:r>
      <w:r>
        <w:fldChar w:fldCharType="end"/>
      </w:r>
      <w: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_Toc2718 </w:instrText>
      </w:r>
      <w:r>
        <w:fldChar w:fldCharType="separate"/>
      </w:r>
      <w:r>
        <w:rPr>
          <w:rFonts w:hint="eastAsia" w:ascii="仿宋_GB2312" w:hAnsi="仿宋_GB2312" w:eastAsia="仿宋_GB2312" w:cs="仿宋_GB2312"/>
          <w:szCs w:val="30"/>
          <w:highlight w:val="none"/>
        </w:rPr>
        <w:t>（</w:t>
      </w:r>
      <w:r>
        <w:rPr>
          <w:rFonts w:hint="eastAsia" w:ascii="仿宋_GB2312" w:hAnsi="仿宋_GB2312" w:eastAsia="仿宋_GB2312" w:cs="仿宋_GB2312"/>
          <w:szCs w:val="30"/>
          <w:highlight w:val="none"/>
          <w:lang w:eastAsia="zh-CN"/>
        </w:rPr>
        <w:t>四</w:t>
      </w:r>
      <w:r>
        <w:rPr>
          <w:rFonts w:hint="eastAsia" w:ascii="仿宋_GB2312" w:hAnsi="仿宋_GB2312" w:eastAsia="仿宋_GB2312" w:cs="仿宋_GB2312"/>
          <w:szCs w:val="30"/>
          <w:highlight w:val="none"/>
        </w:rPr>
        <w:t>）提醒事项</w:t>
      </w:r>
      <w:r>
        <w:tab/>
      </w:r>
      <w:r>
        <w:fldChar w:fldCharType="begin"/>
      </w:r>
      <w:r>
        <w:instrText xml:space="preserve"> PAGEREF _Toc2718 </w:instrText>
      </w:r>
      <w:r>
        <w:fldChar w:fldCharType="separate"/>
      </w:r>
      <w:r>
        <w:t>8</w:t>
      </w:r>
      <w:r>
        <w:fldChar w:fldCharType="end"/>
      </w:r>
      <w:r>
        <w:fldChar w:fldCharType="end"/>
      </w:r>
    </w:p>
    <w:p>
      <w:pPr>
        <w:pStyle w:val="7"/>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_Toc1626 </w:instrText>
      </w:r>
      <w:r>
        <w:fldChar w:fldCharType="separate"/>
      </w:r>
      <w:r>
        <w:rPr>
          <w:rFonts w:hint="eastAsia" w:ascii="黑体" w:hAnsi="黑体" w:eastAsia="黑体" w:cs="黑体"/>
          <w:bCs w:val="0"/>
          <w:szCs w:val="30"/>
          <w:highlight w:val="none"/>
          <w:lang w:eastAsia="zh-CN"/>
        </w:rPr>
        <w:t>六、</w:t>
      </w:r>
      <w:r>
        <w:rPr>
          <w:rFonts w:hint="eastAsia" w:ascii="黑体" w:hAnsi="黑体" w:eastAsia="黑体" w:cs="黑体"/>
          <w:bCs w:val="0"/>
          <w:szCs w:val="30"/>
          <w:highlight w:val="none"/>
        </w:rPr>
        <w:t>专业</w:t>
      </w:r>
      <w:r>
        <w:tab/>
      </w:r>
      <w:r>
        <w:fldChar w:fldCharType="begin"/>
      </w:r>
      <w:r>
        <w:instrText xml:space="preserve"> PAGEREF _Toc1626 </w:instrText>
      </w:r>
      <w:r>
        <w:fldChar w:fldCharType="separate"/>
      </w:r>
      <w:r>
        <w:t>9</w:t>
      </w:r>
      <w:r>
        <w:fldChar w:fldCharType="end"/>
      </w:r>
      <w: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_Toc22205 </w:instrText>
      </w:r>
      <w:r>
        <w:fldChar w:fldCharType="separate"/>
      </w:r>
      <w:r>
        <w:rPr>
          <w:rFonts w:hint="eastAsia" w:ascii="仿宋_GB2312" w:hAnsi="仿宋_GB2312" w:eastAsia="仿宋_GB2312" w:cs="仿宋_GB2312"/>
          <w:szCs w:val="30"/>
          <w:highlight w:val="none"/>
        </w:rPr>
        <w:t>（一）填报专业名称</w:t>
      </w:r>
      <w:r>
        <w:tab/>
      </w:r>
      <w:r>
        <w:fldChar w:fldCharType="begin"/>
      </w:r>
      <w:r>
        <w:instrText xml:space="preserve"> PAGEREF _Toc22205 </w:instrText>
      </w:r>
      <w:r>
        <w:fldChar w:fldCharType="separate"/>
      </w:r>
      <w:r>
        <w:t>9</w:t>
      </w:r>
      <w:r>
        <w:fldChar w:fldCharType="end"/>
      </w:r>
      <w: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_Toc3969 </w:instrText>
      </w:r>
      <w:r>
        <w:fldChar w:fldCharType="separate"/>
      </w:r>
      <w:r>
        <w:rPr>
          <w:rFonts w:hint="eastAsia" w:ascii="仿宋_GB2312" w:hAnsi="仿宋_GB2312" w:eastAsia="仿宋_GB2312" w:cs="仿宋_GB2312"/>
          <w:szCs w:val="30"/>
          <w:highlight w:val="none"/>
        </w:rPr>
        <w:t>（二）专业与学历（位）的对应关系</w:t>
      </w:r>
      <w:r>
        <w:tab/>
      </w:r>
      <w:r>
        <w:fldChar w:fldCharType="begin"/>
      </w:r>
      <w:r>
        <w:instrText xml:space="preserve"> PAGEREF _Toc3969 </w:instrText>
      </w:r>
      <w:r>
        <w:fldChar w:fldCharType="separate"/>
      </w:r>
      <w:r>
        <w:t>9</w:t>
      </w:r>
      <w:r>
        <w:fldChar w:fldCharType="end"/>
      </w:r>
      <w: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_Toc18774 </w:instrText>
      </w:r>
      <w:r>
        <w:fldChar w:fldCharType="separate"/>
      </w:r>
      <w:r>
        <w:rPr>
          <w:rFonts w:hint="eastAsia" w:ascii="仿宋_GB2312" w:hAnsi="仿宋_GB2312" w:eastAsia="仿宋_GB2312" w:cs="仿宋_GB2312"/>
          <w:szCs w:val="30"/>
          <w:highlight w:val="none"/>
        </w:rPr>
        <w:t>（三）专业资格的认定</w:t>
      </w:r>
      <w:r>
        <w:tab/>
      </w:r>
      <w:r>
        <w:fldChar w:fldCharType="begin"/>
      </w:r>
      <w:r>
        <w:instrText xml:space="preserve"> PAGEREF _Toc18774 </w:instrText>
      </w:r>
      <w:r>
        <w:fldChar w:fldCharType="separate"/>
      </w:r>
      <w:r>
        <w:t>10</w:t>
      </w:r>
      <w:r>
        <w:fldChar w:fldCharType="end"/>
      </w:r>
      <w:r>
        <w:fldChar w:fldCharType="end"/>
      </w:r>
    </w:p>
    <w:p>
      <w:pPr>
        <w:pStyle w:val="7"/>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_Toc2470 </w:instrText>
      </w:r>
      <w:r>
        <w:fldChar w:fldCharType="separate"/>
      </w:r>
      <w:r>
        <w:rPr>
          <w:rFonts w:hint="eastAsia" w:ascii="黑体" w:hAnsi="黑体" w:eastAsia="黑体" w:cs="黑体"/>
          <w:szCs w:val="30"/>
          <w:highlight w:val="none"/>
          <w:lang w:val="en-US" w:eastAsia="zh-CN"/>
        </w:rPr>
        <w:t>七、可免笔试情形</w:t>
      </w:r>
      <w:r>
        <w:tab/>
      </w:r>
      <w:r>
        <w:fldChar w:fldCharType="begin"/>
      </w:r>
      <w:r>
        <w:instrText xml:space="preserve"> PAGEREF _Toc2470 </w:instrText>
      </w:r>
      <w:r>
        <w:fldChar w:fldCharType="separate"/>
      </w:r>
      <w:r>
        <w:t>10</w:t>
      </w:r>
      <w:r>
        <w:fldChar w:fldCharType="end"/>
      </w:r>
      <w:r>
        <w:fldChar w:fldCharType="end"/>
      </w:r>
    </w:p>
    <w:p>
      <w:pPr>
        <w:pStyle w:val="7"/>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_Toc28861 </w:instrText>
      </w:r>
      <w:r>
        <w:fldChar w:fldCharType="separate"/>
      </w:r>
      <w:r>
        <w:rPr>
          <w:rFonts w:hint="eastAsia" w:ascii="黑体" w:hAnsi="黑体" w:eastAsia="黑体" w:cs="黑体"/>
          <w:bCs w:val="0"/>
          <w:szCs w:val="30"/>
          <w:highlight w:val="none"/>
          <w:lang w:eastAsia="zh-CN"/>
        </w:rPr>
        <w:t>八、岗位开考比例</w:t>
      </w:r>
      <w:r>
        <w:tab/>
      </w:r>
      <w:r>
        <w:fldChar w:fldCharType="begin"/>
      </w:r>
      <w:r>
        <w:instrText xml:space="preserve"> PAGEREF _Toc28861 </w:instrText>
      </w:r>
      <w:r>
        <w:fldChar w:fldCharType="separate"/>
      </w:r>
      <w:r>
        <w:t>11</w:t>
      </w:r>
      <w:r>
        <w:fldChar w:fldCharType="end"/>
      </w:r>
      <w:r>
        <w:fldChar w:fldCharType="end"/>
      </w:r>
    </w:p>
    <w:p>
      <w:pPr>
        <w:pStyle w:val="7"/>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_Toc12051 </w:instrText>
      </w:r>
      <w:r>
        <w:fldChar w:fldCharType="separate"/>
      </w:r>
      <w:r>
        <w:rPr>
          <w:rFonts w:hint="eastAsia" w:ascii="黑体" w:hAnsi="黑体" w:eastAsia="黑体" w:cs="黑体"/>
          <w:bCs w:val="0"/>
          <w:szCs w:val="30"/>
          <w:highlight w:val="none"/>
          <w:lang w:eastAsia="zh-CN"/>
        </w:rPr>
        <w:t>九、</w:t>
      </w:r>
      <w:r>
        <w:rPr>
          <w:rFonts w:hint="eastAsia" w:ascii="黑体" w:hAnsi="黑体" w:eastAsia="黑体" w:cs="黑体"/>
          <w:bCs w:val="0"/>
          <w:szCs w:val="30"/>
          <w:highlight w:val="none"/>
        </w:rPr>
        <w:t>笔试加分</w:t>
      </w:r>
      <w:r>
        <w:tab/>
      </w:r>
      <w:r>
        <w:fldChar w:fldCharType="begin"/>
      </w:r>
      <w:r>
        <w:instrText xml:space="preserve"> PAGEREF _Toc12051 </w:instrText>
      </w:r>
      <w:r>
        <w:fldChar w:fldCharType="separate"/>
      </w:r>
      <w:r>
        <w:t>11</w:t>
      </w:r>
      <w:r>
        <w:fldChar w:fldCharType="end"/>
      </w:r>
      <w: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_Toc5681 </w:instrText>
      </w:r>
      <w:r>
        <w:fldChar w:fldCharType="separate"/>
      </w:r>
      <w:r>
        <w:rPr>
          <w:rFonts w:hint="eastAsia" w:ascii="仿宋_GB2312" w:hAnsi="仿宋_GB2312" w:eastAsia="仿宋_GB2312" w:cs="仿宋_GB2312"/>
          <w:bCs/>
          <w:szCs w:val="30"/>
          <w:highlight w:val="none"/>
          <w:lang w:eastAsia="zh-CN"/>
        </w:rPr>
        <w:t>（一）加分原则</w:t>
      </w:r>
      <w:r>
        <w:tab/>
      </w:r>
      <w:r>
        <w:fldChar w:fldCharType="begin"/>
      </w:r>
      <w:r>
        <w:instrText xml:space="preserve"> PAGEREF _Toc5681 </w:instrText>
      </w:r>
      <w:r>
        <w:fldChar w:fldCharType="separate"/>
      </w:r>
      <w:r>
        <w:t>11</w:t>
      </w:r>
      <w:r>
        <w:fldChar w:fldCharType="end"/>
      </w:r>
      <w: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_Toc17317 </w:instrText>
      </w:r>
      <w:r>
        <w:fldChar w:fldCharType="separate"/>
      </w:r>
      <w:r>
        <w:rPr>
          <w:rFonts w:hint="eastAsia" w:ascii="仿宋_GB2312" w:hAnsi="仿宋_GB2312" w:eastAsia="仿宋_GB2312" w:cs="仿宋_GB2312"/>
          <w:szCs w:val="30"/>
          <w:highlight w:val="none"/>
        </w:rPr>
        <w:t>（二）加分对象</w:t>
      </w:r>
      <w:r>
        <w:tab/>
      </w:r>
      <w:r>
        <w:fldChar w:fldCharType="begin"/>
      </w:r>
      <w:r>
        <w:instrText xml:space="preserve"> PAGEREF _Toc17317 </w:instrText>
      </w:r>
      <w:r>
        <w:fldChar w:fldCharType="separate"/>
      </w:r>
      <w:r>
        <w:t>12</w:t>
      </w:r>
      <w:r>
        <w:fldChar w:fldCharType="end"/>
      </w:r>
      <w:r>
        <w:fldChar w:fldCharType="end"/>
      </w:r>
    </w:p>
    <w:p>
      <w:pPr>
        <w:pStyle w:val="3"/>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_Toc30543 </w:instrText>
      </w:r>
      <w:r>
        <w:fldChar w:fldCharType="separate"/>
      </w:r>
      <w:r>
        <w:rPr>
          <w:rFonts w:hint="eastAsia" w:ascii="仿宋_GB2312" w:hAnsi="仿宋_GB2312" w:eastAsia="仿宋_GB2312" w:cs="仿宋_GB2312"/>
          <w:bCs/>
          <w:szCs w:val="30"/>
          <w:highlight w:val="none"/>
        </w:rPr>
        <w:t>1.服务基层项目高校毕业人员</w:t>
      </w:r>
      <w:r>
        <w:tab/>
      </w:r>
      <w:r>
        <w:fldChar w:fldCharType="begin"/>
      </w:r>
      <w:r>
        <w:instrText xml:space="preserve"> PAGEREF _Toc30543 </w:instrText>
      </w:r>
      <w:r>
        <w:fldChar w:fldCharType="separate"/>
      </w:r>
      <w:r>
        <w:t>12</w:t>
      </w:r>
      <w:r>
        <w:fldChar w:fldCharType="end"/>
      </w:r>
      <w:r>
        <w:fldChar w:fldCharType="end"/>
      </w:r>
    </w:p>
    <w:p>
      <w:pPr>
        <w:pStyle w:val="3"/>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_Toc15089 </w:instrText>
      </w:r>
      <w:r>
        <w:fldChar w:fldCharType="separate"/>
      </w:r>
      <w:r>
        <w:rPr>
          <w:rFonts w:hint="eastAsia" w:ascii="仿宋_GB2312" w:hAnsi="仿宋_GB2312" w:eastAsia="仿宋_GB2312" w:cs="仿宋_GB2312"/>
          <w:bCs/>
          <w:szCs w:val="30"/>
          <w:highlight w:val="none"/>
        </w:rPr>
        <w:t>2.退役士兵（含大学生退役士兵）</w:t>
      </w:r>
      <w:r>
        <w:tab/>
      </w:r>
      <w:r>
        <w:fldChar w:fldCharType="begin"/>
      </w:r>
      <w:r>
        <w:instrText xml:space="preserve"> PAGEREF _Toc15089 </w:instrText>
      </w:r>
      <w:r>
        <w:fldChar w:fldCharType="separate"/>
      </w:r>
      <w:r>
        <w:t>12</w:t>
      </w:r>
      <w:r>
        <w:fldChar w:fldCharType="end"/>
      </w:r>
      <w:r>
        <w:fldChar w:fldCharType="end"/>
      </w:r>
    </w:p>
    <w:p>
      <w:pPr>
        <w:pStyle w:val="3"/>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_Toc23575 </w:instrText>
      </w:r>
      <w:r>
        <w:fldChar w:fldCharType="separate"/>
      </w:r>
      <w:r>
        <w:rPr>
          <w:rFonts w:hint="eastAsia" w:ascii="仿宋_GB2312" w:hAnsi="仿宋_GB2312" w:eastAsia="仿宋_GB2312" w:cs="仿宋_GB2312"/>
          <w:bCs/>
          <w:szCs w:val="30"/>
          <w:highlight w:val="none"/>
        </w:rPr>
        <w:t>3.退役优秀运动员</w:t>
      </w:r>
      <w:r>
        <w:tab/>
      </w:r>
      <w:r>
        <w:fldChar w:fldCharType="begin"/>
      </w:r>
      <w:r>
        <w:instrText xml:space="preserve"> PAGEREF _Toc23575 </w:instrText>
      </w:r>
      <w:r>
        <w:fldChar w:fldCharType="separate"/>
      </w:r>
      <w:r>
        <w:t>12</w:t>
      </w:r>
      <w:r>
        <w:fldChar w:fldCharType="end"/>
      </w:r>
      <w: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_Toc23729 </w:instrText>
      </w:r>
      <w:r>
        <w:fldChar w:fldCharType="separate"/>
      </w:r>
      <w:r>
        <w:rPr>
          <w:rFonts w:hint="eastAsia" w:ascii="仿宋_GB2312" w:hAnsi="仿宋_GB2312" w:eastAsia="仿宋_GB2312" w:cs="仿宋_GB2312"/>
          <w:bCs/>
          <w:szCs w:val="30"/>
          <w:highlight w:val="none"/>
        </w:rPr>
        <w:t>（三）加分证明材料</w:t>
      </w:r>
      <w:r>
        <w:tab/>
      </w:r>
      <w:r>
        <w:fldChar w:fldCharType="begin"/>
      </w:r>
      <w:r>
        <w:instrText xml:space="preserve"> PAGEREF _Toc23729 </w:instrText>
      </w:r>
      <w:r>
        <w:fldChar w:fldCharType="separate"/>
      </w:r>
      <w:r>
        <w:t>13</w:t>
      </w:r>
      <w:r>
        <w:fldChar w:fldCharType="end"/>
      </w:r>
      <w:r>
        <w:fldChar w:fldCharType="end"/>
      </w:r>
    </w:p>
    <w:p>
      <w:pPr>
        <w:pStyle w:val="7"/>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_Toc30259 </w:instrText>
      </w:r>
      <w:r>
        <w:fldChar w:fldCharType="separate"/>
      </w:r>
      <w:r>
        <w:rPr>
          <w:rFonts w:hint="eastAsia" w:ascii="黑体" w:hAnsi="黑体" w:eastAsia="黑体" w:cs="黑体"/>
          <w:bCs w:val="0"/>
          <w:szCs w:val="30"/>
          <w:highlight w:val="none"/>
          <w:lang w:eastAsia="zh-CN"/>
        </w:rPr>
        <w:t>十、</w:t>
      </w:r>
      <w:r>
        <w:rPr>
          <w:rFonts w:hint="eastAsia" w:ascii="黑体" w:hAnsi="黑体" w:eastAsia="黑体" w:cs="黑体"/>
          <w:bCs w:val="0"/>
          <w:szCs w:val="30"/>
          <w:highlight w:val="none"/>
        </w:rPr>
        <w:t>综合总分计算</w:t>
      </w:r>
      <w:r>
        <w:tab/>
      </w:r>
      <w:r>
        <w:fldChar w:fldCharType="begin"/>
      </w:r>
      <w:r>
        <w:instrText xml:space="preserve"> PAGEREF _Toc30259 </w:instrText>
      </w:r>
      <w:r>
        <w:fldChar w:fldCharType="separate"/>
      </w:r>
      <w:r>
        <w:t>13</w:t>
      </w:r>
      <w:r>
        <w:fldChar w:fldCharType="end"/>
      </w:r>
      <w:r>
        <w:fldChar w:fldCharType="end"/>
      </w:r>
    </w:p>
    <w:p>
      <w:pPr>
        <w:pStyle w:val="7"/>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_Toc16751 </w:instrText>
      </w:r>
      <w:r>
        <w:fldChar w:fldCharType="separate"/>
      </w:r>
      <w:r>
        <w:rPr>
          <w:rFonts w:hint="eastAsia" w:ascii="黑体" w:hAnsi="黑体" w:eastAsia="黑体" w:cs="黑体"/>
          <w:bCs w:val="0"/>
          <w:szCs w:val="30"/>
          <w:highlight w:val="none"/>
          <w:lang w:eastAsia="zh-CN"/>
        </w:rPr>
        <w:t>十一、</w:t>
      </w:r>
      <w:r>
        <w:rPr>
          <w:rFonts w:hint="eastAsia" w:ascii="黑体" w:hAnsi="黑体" w:eastAsia="黑体" w:cs="黑体"/>
          <w:bCs w:val="0"/>
          <w:szCs w:val="30"/>
          <w:highlight w:val="none"/>
        </w:rPr>
        <w:t>体检和考察</w:t>
      </w:r>
      <w:r>
        <w:tab/>
      </w:r>
      <w:r>
        <w:fldChar w:fldCharType="begin"/>
      </w:r>
      <w:r>
        <w:instrText xml:space="preserve"> PAGEREF _Toc16751 </w:instrText>
      </w:r>
      <w:r>
        <w:fldChar w:fldCharType="separate"/>
      </w:r>
      <w:r>
        <w:t>14</w:t>
      </w:r>
      <w:r>
        <w:fldChar w:fldCharType="end"/>
      </w:r>
      <w: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_Toc7008 </w:instrText>
      </w:r>
      <w:r>
        <w:fldChar w:fldCharType="separate"/>
      </w:r>
      <w:r>
        <w:rPr>
          <w:rFonts w:hint="eastAsia" w:ascii="仿宋_GB2312" w:hAnsi="仿宋_GB2312" w:eastAsia="仿宋_GB2312" w:cs="仿宋_GB2312"/>
          <w:szCs w:val="30"/>
          <w:highlight w:val="none"/>
        </w:rPr>
        <w:t>（一）确定体检</w:t>
      </w:r>
      <w:r>
        <w:rPr>
          <w:rFonts w:hint="eastAsia" w:ascii="仿宋_GB2312" w:hAnsi="仿宋_GB2312" w:eastAsia="仿宋_GB2312" w:cs="仿宋_GB2312"/>
          <w:szCs w:val="30"/>
          <w:highlight w:val="none"/>
          <w:lang w:eastAsia="zh-CN"/>
        </w:rPr>
        <w:t>人选</w:t>
      </w:r>
      <w:r>
        <w:tab/>
      </w:r>
      <w:r>
        <w:fldChar w:fldCharType="begin"/>
      </w:r>
      <w:r>
        <w:instrText xml:space="preserve"> PAGEREF _Toc7008 </w:instrText>
      </w:r>
      <w:r>
        <w:fldChar w:fldCharType="separate"/>
      </w:r>
      <w:r>
        <w:t>14</w:t>
      </w:r>
      <w:r>
        <w:fldChar w:fldCharType="end"/>
      </w:r>
      <w: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_Toc4560 </w:instrText>
      </w:r>
      <w:r>
        <w:fldChar w:fldCharType="separate"/>
      </w:r>
      <w:r>
        <w:rPr>
          <w:rFonts w:hint="eastAsia" w:ascii="仿宋_GB2312" w:hAnsi="仿宋_GB2312" w:eastAsia="仿宋_GB2312" w:cs="仿宋_GB2312"/>
          <w:szCs w:val="30"/>
          <w:highlight w:val="none"/>
        </w:rPr>
        <w:t>（二）组织体检</w:t>
      </w:r>
      <w:r>
        <w:tab/>
      </w:r>
      <w:r>
        <w:fldChar w:fldCharType="begin"/>
      </w:r>
      <w:r>
        <w:instrText xml:space="preserve"> PAGEREF _Toc4560 </w:instrText>
      </w:r>
      <w:r>
        <w:fldChar w:fldCharType="separate"/>
      </w:r>
      <w:r>
        <w:t>14</w:t>
      </w:r>
      <w:r>
        <w:fldChar w:fldCharType="end"/>
      </w:r>
      <w: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_Toc15396 </w:instrText>
      </w:r>
      <w:r>
        <w:fldChar w:fldCharType="separate"/>
      </w:r>
      <w:r>
        <w:rPr>
          <w:rFonts w:hint="eastAsia" w:ascii="仿宋_GB2312" w:hAnsi="仿宋_GB2312" w:eastAsia="仿宋_GB2312" w:cs="仿宋_GB2312"/>
          <w:szCs w:val="30"/>
          <w:highlight w:val="none"/>
        </w:rPr>
        <w:t>（三）体检依据</w:t>
      </w:r>
      <w:r>
        <w:tab/>
      </w:r>
      <w:r>
        <w:fldChar w:fldCharType="begin"/>
      </w:r>
      <w:r>
        <w:instrText xml:space="preserve"> PAGEREF _Toc15396 </w:instrText>
      </w:r>
      <w:r>
        <w:fldChar w:fldCharType="separate"/>
      </w:r>
      <w:r>
        <w:t>14</w:t>
      </w:r>
      <w:r>
        <w:fldChar w:fldCharType="end"/>
      </w:r>
      <w: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_Toc1261 </w:instrText>
      </w:r>
      <w:r>
        <w:fldChar w:fldCharType="separate"/>
      </w:r>
      <w:r>
        <w:rPr>
          <w:rFonts w:hint="eastAsia" w:ascii="仿宋_GB2312" w:hAnsi="仿宋_GB2312" w:eastAsia="仿宋_GB2312" w:cs="仿宋_GB2312"/>
          <w:szCs w:val="30"/>
          <w:highlight w:val="none"/>
        </w:rPr>
        <w:t>（四）体检复检</w:t>
      </w:r>
      <w:r>
        <w:tab/>
      </w:r>
      <w:r>
        <w:fldChar w:fldCharType="begin"/>
      </w:r>
      <w:r>
        <w:instrText xml:space="preserve"> PAGEREF _Toc1261 </w:instrText>
      </w:r>
      <w:r>
        <w:fldChar w:fldCharType="separate"/>
      </w:r>
      <w:r>
        <w:t>15</w:t>
      </w:r>
      <w:r>
        <w:fldChar w:fldCharType="end"/>
      </w:r>
      <w: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_Toc16697 </w:instrText>
      </w:r>
      <w:r>
        <w:fldChar w:fldCharType="separate"/>
      </w:r>
      <w:r>
        <w:rPr>
          <w:rFonts w:hint="eastAsia" w:ascii="仿宋_GB2312" w:hAnsi="仿宋_GB2312" w:eastAsia="仿宋_GB2312" w:cs="仿宋_GB2312"/>
          <w:szCs w:val="30"/>
          <w:highlight w:val="none"/>
        </w:rPr>
        <w:t>（五）可延迟体检的情形</w:t>
      </w:r>
      <w:r>
        <w:tab/>
      </w:r>
      <w:r>
        <w:fldChar w:fldCharType="begin"/>
      </w:r>
      <w:r>
        <w:instrText xml:space="preserve"> PAGEREF _Toc16697 </w:instrText>
      </w:r>
      <w:r>
        <w:fldChar w:fldCharType="separate"/>
      </w:r>
      <w:r>
        <w:t>15</w:t>
      </w:r>
      <w:r>
        <w:fldChar w:fldCharType="end"/>
      </w:r>
      <w: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_Toc16012 </w:instrText>
      </w:r>
      <w:r>
        <w:fldChar w:fldCharType="separate"/>
      </w:r>
      <w:r>
        <w:rPr>
          <w:rFonts w:hint="eastAsia" w:ascii="仿宋_GB2312" w:hAnsi="仿宋_GB2312" w:eastAsia="仿宋_GB2312" w:cs="仿宋_GB2312"/>
          <w:szCs w:val="30"/>
          <w:highlight w:val="none"/>
        </w:rPr>
        <w:t>（六）考察</w:t>
      </w:r>
      <w:r>
        <w:tab/>
      </w:r>
      <w:r>
        <w:fldChar w:fldCharType="begin"/>
      </w:r>
      <w:r>
        <w:instrText xml:space="preserve"> PAGEREF _Toc16012 </w:instrText>
      </w:r>
      <w:r>
        <w:fldChar w:fldCharType="separate"/>
      </w:r>
      <w:r>
        <w:t>15</w:t>
      </w:r>
      <w:r>
        <w:fldChar w:fldCharType="end"/>
      </w:r>
      <w:r>
        <w:fldChar w:fldCharType="end"/>
      </w:r>
    </w:p>
    <w:p>
      <w:pPr>
        <w:pStyle w:val="7"/>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_Toc3418 </w:instrText>
      </w:r>
      <w:r>
        <w:fldChar w:fldCharType="separate"/>
      </w:r>
      <w:r>
        <w:rPr>
          <w:rFonts w:hint="eastAsia" w:ascii="黑体" w:hAnsi="黑体" w:eastAsia="黑体" w:cs="黑体"/>
          <w:bCs w:val="0"/>
          <w:szCs w:val="30"/>
          <w:highlight w:val="none"/>
          <w:lang w:eastAsia="zh-CN"/>
        </w:rPr>
        <w:t>十二、</w:t>
      </w:r>
      <w:r>
        <w:rPr>
          <w:rFonts w:hint="eastAsia" w:ascii="黑体" w:hAnsi="黑体" w:eastAsia="黑体" w:cs="黑体"/>
          <w:bCs w:val="0"/>
          <w:szCs w:val="30"/>
          <w:highlight w:val="none"/>
        </w:rPr>
        <w:t>公示</w:t>
      </w:r>
      <w:r>
        <w:tab/>
      </w:r>
      <w:r>
        <w:fldChar w:fldCharType="begin"/>
      </w:r>
      <w:r>
        <w:instrText xml:space="preserve"> PAGEREF _Toc3418 </w:instrText>
      </w:r>
      <w:r>
        <w:fldChar w:fldCharType="separate"/>
      </w:r>
      <w:r>
        <w:t>16</w:t>
      </w:r>
      <w:r>
        <w:fldChar w:fldCharType="end"/>
      </w:r>
      <w:r>
        <w:fldChar w:fldCharType="end"/>
      </w:r>
    </w:p>
    <w:p>
      <w:pPr>
        <w:pStyle w:val="7"/>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_Toc29774 </w:instrText>
      </w:r>
      <w:r>
        <w:fldChar w:fldCharType="separate"/>
      </w:r>
      <w:r>
        <w:rPr>
          <w:rFonts w:hint="eastAsia" w:ascii="黑体" w:hAnsi="黑体" w:eastAsia="黑体" w:cs="黑体"/>
          <w:bCs w:val="0"/>
          <w:szCs w:val="30"/>
          <w:highlight w:val="none"/>
          <w:lang w:eastAsia="zh-CN"/>
        </w:rPr>
        <w:t>十三、聘用办理</w:t>
      </w:r>
      <w:r>
        <w:tab/>
      </w:r>
      <w:r>
        <w:fldChar w:fldCharType="begin"/>
      </w:r>
      <w:r>
        <w:instrText xml:space="preserve"> PAGEREF _Toc29774 </w:instrText>
      </w:r>
      <w:r>
        <w:fldChar w:fldCharType="separate"/>
      </w:r>
      <w:r>
        <w:t>16</w:t>
      </w:r>
      <w:r>
        <w:fldChar w:fldCharType="end"/>
      </w:r>
      <w: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_Toc3658 </w:instrText>
      </w:r>
      <w:r>
        <w:fldChar w:fldCharType="separate"/>
      </w:r>
      <w:r>
        <w:rPr>
          <w:rFonts w:hint="eastAsia" w:ascii="仿宋_GB2312" w:hAnsi="仿宋_GB2312" w:eastAsia="仿宋_GB2312" w:cs="仿宋_GB2312"/>
          <w:szCs w:val="30"/>
          <w:highlight w:val="none"/>
        </w:rPr>
        <w:t>（一）聘用手续办理</w:t>
      </w:r>
      <w:r>
        <w:tab/>
      </w:r>
      <w:r>
        <w:fldChar w:fldCharType="begin"/>
      </w:r>
      <w:r>
        <w:instrText xml:space="preserve"> PAGEREF _Toc3658 </w:instrText>
      </w:r>
      <w:r>
        <w:fldChar w:fldCharType="separate"/>
      </w:r>
      <w:r>
        <w:t>16</w:t>
      </w:r>
      <w:r>
        <w:fldChar w:fldCharType="end"/>
      </w:r>
      <w: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_Toc14591 </w:instrText>
      </w:r>
      <w:r>
        <w:fldChar w:fldCharType="separate"/>
      </w:r>
      <w:r>
        <w:rPr>
          <w:rFonts w:hint="eastAsia" w:ascii="仿宋_GB2312" w:hAnsi="仿宋_GB2312" w:eastAsia="仿宋_GB2312" w:cs="仿宋_GB2312"/>
          <w:szCs w:val="30"/>
          <w:highlight w:val="none"/>
        </w:rPr>
        <w:t>（二）岗位聘任</w:t>
      </w:r>
      <w:r>
        <w:tab/>
      </w:r>
      <w:r>
        <w:fldChar w:fldCharType="begin"/>
      </w:r>
      <w:r>
        <w:instrText xml:space="preserve"> PAGEREF _Toc14591 </w:instrText>
      </w:r>
      <w:r>
        <w:fldChar w:fldCharType="separate"/>
      </w:r>
      <w:r>
        <w:t>16</w:t>
      </w:r>
      <w:r>
        <w:fldChar w:fldCharType="end"/>
      </w:r>
      <w:r>
        <w:fldChar w:fldCharType="end"/>
      </w:r>
    </w:p>
    <w:p>
      <w:pPr>
        <w:pStyle w:val="7"/>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_Toc24403 </w:instrText>
      </w:r>
      <w:r>
        <w:fldChar w:fldCharType="separate"/>
      </w:r>
      <w:r>
        <w:rPr>
          <w:rFonts w:hint="eastAsia" w:ascii="黑体" w:hAnsi="黑体" w:eastAsia="黑体" w:cs="黑体"/>
          <w:bCs w:val="0"/>
          <w:szCs w:val="30"/>
          <w:highlight w:val="none"/>
          <w:lang w:eastAsia="zh-CN"/>
        </w:rPr>
        <w:t>十四、</w:t>
      </w:r>
      <w:r>
        <w:rPr>
          <w:rFonts w:hint="eastAsia" w:ascii="黑体" w:hAnsi="黑体" w:eastAsia="黑体" w:cs="黑体"/>
          <w:bCs w:val="0"/>
          <w:szCs w:val="30"/>
          <w:highlight w:val="none"/>
        </w:rPr>
        <w:t>其他</w:t>
      </w:r>
      <w:r>
        <w:rPr>
          <w:rFonts w:hint="eastAsia" w:ascii="黑体" w:hAnsi="黑体" w:eastAsia="黑体" w:cs="黑体"/>
          <w:bCs w:val="0"/>
          <w:szCs w:val="30"/>
          <w:highlight w:val="none"/>
          <w:lang w:eastAsia="zh-CN"/>
        </w:rPr>
        <w:t>需说明</w:t>
      </w:r>
      <w:r>
        <w:rPr>
          <w:rFonts w:hint="eastAsia" w:ascii="黑体" w:hAnsi="黑体" w:eastAsia="黑体" w:cs="黑体"/>
          <w:bCs w:val="0"/>
          <w:szCs w:val="30"/>
          <w:highlight w:val="none"/>
        </w:rPr>
        <w:t>事项</w:t>
      </w:r>
      <w:r>
        <w:tab/>
      </w:r>
      <w:r>
        <w:fldChar w:fldCharType="begin"/>
      </w:r>
      <w:r>
        <w:instrText xml:space="preserve"> PAGEREF _Toc24403 </w:instrText>
      </w:r>
      <w:r>
        <w:fldChar w:fldCharType="separate"/>
      </w:r>
      <w:r>
        <w:t>17</w:t>
      </w:r>
      <w:r>
        <w:fldChar w:fldCharType="end"/>
      </w:r>
      <w: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_Toc1964 </w:instrText>
      </w:r>
      <w:r>
        <w:fldChar w:fldCharType="separate"/>
      </w:r>
      <w:r>
        <w:rPr>
          <w:rFonts w:hint="eastAsia" w:ascii="仿宋_GB2312" w:hAnsi="仿宋_GB2312" w:eastAsia="仿宋_GB2312" w:cs="仿宋_GB2312"/>
          <w:bCs w:val="0"/>
          <w:szCs w:val="30"/>
          <w:highlight w:val="none"/>
          <w:lang w:eastAsia="zh-CN"/>
        </w:rPr>
        <w:t>（一）</w:t>
      </w:r>
      <w:r>
        <w:rPr>
          <w:rFonts w:hint="eastAsia" w:ascii="仿宋_GB2312" w:hAnsi="仿宋_GB2312" w:eastAsia="仿宋_GB2312" w:cs="仿宋_GB2312"/>
          <w:szCs w:val="30"/>
          <w:highlight w:val="none"/>
        </w:rPr>
        <w:t>全日制普通教育</w:t>
      </w:r>
      <w:r>
        <w:rPr>
          <w:rFonts w:hint="eastAsia" w:ascii="仿宋_GB2312" w:hAnsi="仿宋_GB2312" w:eastAsia="仿宋_GB2312" w:cs="仿宋_GB2312"/>
          <w:szCs w:val="30"/>
          <w:highlight w:val="none"/>
          <w:lang w:eastAsia="zh-CN"/>
        </w:rPr>
        <w:t>学历</w:t>
      </w:r>
      <w:r>
        <w:tab/>
      </w:r>
      <w:r>
        <w:fldChar w:fldCharType="begin"/>
      </w:r>
      <w:r>
        <w:instrText xml:space="preserve"> PAGEREF _Toc1964 </w:instrText>
      </w:r>
      <w:r>
        <w:fldChar w:fldCharType="separate"/>
      </w:r>
      <w:r>
        <w:t>17</w:t>
      </w:r>
      <w:r>
        <w:fldChar w:fldCharType="end"/>
      </w:r>
      <w: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_Toc20630 </w:instrText>
      </w:r>
      <w:r>
        <w:fldChar w:fldCharType="separate"/>
      </w:r>
      <w:r>
        <w:rPr>
          <w:rFonts w:hint="eastAsia" w:ascii="仿宋_GB2312" w:hAnsi="仿宋_GB2312" w:eastAsia="仿宋_GB2312" w:cs="仿宋_GB2312"/>
          <w:bCs w:val="0"/>
          <w:szCs w:val="30"/>
          <w:highlight w:val="none"/>
          <w:lang w:eastAsia="zh-CN"/>
        </w:rPr>
        <w:t>（二）</w:t>
      </w:r>
      <w:r>
        <w:rPr>
          <w:rFonts w:hint="eastAsia" w:ascii="仿宋_GB2312" w:hAnsi="仿宋_GB2312" w:eastAsia="仿宋_GB2312" w:cs="仿宋_GB2312"/>
          <w:szCs w:val="30"/>
          <w:highlight w:val="none"/>
        </w:rPr>
        <w:t>职称</w:t>
      </w:r>
      <w:r>
        <w:rPr>
          <w:rFonts w:hint="eastAsia" w:ascii="仿宋_GB2312" w:hAnsi="仿宋_GB2312" w:eastAsia="仿宋_GB2312" w:cs="仿宋_GB2312"/>
          <w:szCs w:val="30"/>
          <w:highlight w:val="none"/>
          <w:lang w:eastAsia="zh-Hans"/>
        </w:rPr>
        <w:t>（</w:t>
      </w:r>
      <w:r>
        <w:rPr>
          <w:rFonts w:hint="eastAsia" w:ascii="仿宋_GB2312" w:hAnsi="仿宋_GB2312" w:eastAsia="仿宋_GB2312" w:cs="仿宋_GB2312"/>
          <w:szCs w:val="30"/>
          <w:highlight w:val="none"/>
          <w:lang w:val="en-US" w:eastAsia="zh-Hans"/>
        </w:rPr>
        <w:t>专业技术职务任职资格</w:t>
      </w:r>
      <w:r>
        <w:rPr>
          <w:rFonts w:hint="eastAsia" w:ascii="仿宋_GB2312" w:hAnsi="仿宋_GB2312" w:eastAsia="仿宋_GB2312" w:cs="仿宋_GB2312"/>
          <w:szCs w:val="30"/>
          <w:highlight w:val="none"/>
          <w:lang w:eastAsia="zh-Hans"/>
        </w:rPr>
        <w:t>）</w:t>
      </w:r>
      <w:r>
        <w:tab/>
      </w:r>
      <w:r>
        <w:fldChar w:fldCharType="begin"/>
      </w:r>
      <w:r>
        <w:instrText xml:space="preserve"> PAGEREF _Toc20630 </w:instrText>
      </w:r>
      <w:r>
        <w:fldChar w:fldCharType="separate"/>
      </w:r>
      <w:r>
        <w:t>17</w:t>
      </w:r>
      <w:r>
        <w:fldChar w:fldCharType="end"/>
      </w:r>
      <w: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_Toc13358 </w:instrText>
      </w:r>
      <w:r>
        <w:fldChar w:fldCharType="separate"/>
      </w:r>
      <w:r>
        <w:rPr>
          <w:rFonts w:hint="eastAsia" w:ascii="仿宋_GB2312" w:hAnsi="仿宋_GB2312" w:eastAsia="仿宋_GB2312" w:cs="仿宋_GB2312"/>
          <w:bCs w:val="0"/>
          <w:szCs w:val="30"/>
          <w:highlight w:val="none"/>
          <w:lang w:eastAsia="zh-CN"/>
        </w:rPr>
        <w:t>（三）</w:t>
      </w:r>
      <w:r>
        <w:rPr>
          <w:rFonts w:hint="eastAsia" w:ascii="仿宋_GB2312" w:hAnsi="仿宋_GB2312" w:eastAsia="仿宋_GB2312" w:cs="仿宋_GB2312"/>
          <w:szCs w:val="30"/>
          <w:highlight w:val="none"/>
        </w:rPr>
        <w:t>生源</w:t>
      </w:r>
      <w:r>
        <w:tab/>
      </w:r>
      <w:r>
        <w:fldChar w:fldCharType="begin"/>
      </w:r>
      <w:r>
        <w:instrText xml:space="preserve"> PAGEREF _Toc13358 </w:instrText>
      </w:r>
      <w:r>
        <w:fldChar w:fldCharType="separate"/>
      </w:r>
      <w:r>
        <w:t>17</w:t>
      </w:r>
      <w:r>
        <w:fldChar w:fldCharType="end"/>
      </w:r>
      <w: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_Toc467 </w:instrText>
      </w:r>
      <w:r>
        <w:fldChar w:fldCharType="separate"/>
      </w:r>
      <w:r>
        <w:rPr>
          <w:rFonts w:hint="eastAsia" w:ascii="仿宋_GB2312" w:hAnsi="仿宋_GB2312" w:eastAsia="仿宋_GB2312" w:cs="仿宋_GB2312"/>
          <w:bCs w:val="0"/>
          <w:szCs w:val="30"/>
          <w:highlight w:val="none"/>
          <w:lang w:eastAsia="zh-CN"/>
        </w:rPr>
        <w:t>（四）</w:t>
      </w:r>
      <w:r>
        <w:rPr>
          <w:rFonts w:hint="eastAsia" w:ascii="仿宋_GB2312" w:hAnsi="仿宋_GB2312" w:eastAsia="仿宋_GB2312" w:cs="仿宋_GB2312"/>
          <w:szCs w:val="30"/>
          <w:highlight w:val="none"/>
        </w:rPr>
        <w:t>港澳台人员</w:t>
      </w:r>
      <w:r>
        <w:tab/>
      </w:r>
      <w:r>
        <w:fldChar w:fldCharType="begin"/>
      </w:r>
      <w:r>
        <w:instrText xml:space="preserve"> PAGEREF _Toc467 </w:instrText>
      </w:r>
      <w:r>
        <w:fldChar w:fldCharType="separate"/>
      </w:r>
      <w:r>
        <w:t>18</w:t>
      </w:r>
      <w:r>
        <w:fldChar w:fldCharType="end"/>
      </w:r>
      <w: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_Toc21833 </w:instrText>
      </w:r>
      <w:r>
        <w:fldChar w:fldCharType="separate"/>
      </w:r>
      <w:r>
        <w:rPr>
          <w:rFonts w:hint="eastAsia" w:ascii="仿宋_GB2312" w:hAnsi="仿宋_GB2312" w:eastAsia="仿宋_GB2312" w:cs="仿宋_GB2312"/>
          <w:bCs w:val="0"/>
          <w:szCs w:val="30"/>
          <w:highlight w:val="none"/>
          <w:lang w:eastAsia="zh-CN"/>
        </w:rPr>
        <w:t>（五）</w:t>
      </w:r>
      <w:r>
        <w:rPr>
          <w:rFonts w:hint="eastAsia" w:ascii="仿宋_GB2312" w:hAnsi="仿宋_GB2312" w:eastAsia="仿宋_GB2312" w:cs="仿宋_GB2312"/>
          <w:bCs w:val="0"/>
          <w:szCs w:val="30"/>
          <w:highlight w:val="none"/>
        </w:rPr>
        <w:t>技工院校毕业生</w:t>
      </w:r>
      <w:r>
        <w:tab/>
      </w:r>
      <w:r>
        <w:fldChar w:fldCharType="begin"/>
      </w:r>
      <w:r>
        <w:instrText xml:space="preserve"> PAGEREF _Toc21833 </w:instrText>
      </w:r>
      <w:r>
        <w:fldChar w:fldCharType="separate"/>
      </w:r>
      <w:r>
        <w:t>18</w:t>
      </w:r>
      <w:r>
        <w:fldChar w:fldCharType="end"/>
      </w:r>
      <w:r>
        <w:fldChar w:fldCharType="end"/>
      </w:r>
    </w:p>
    <w:p>
      <w:pPr>
        <w:pStyle w:val="7"/>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_Toc29858 </w:instrText>
      </w:r>
      <w:r>
        <w:fldChar w:fldCharType="separate"/>
      </w:r>
      <w:r>
        <w:rPr>
          <w:rFonts w:hint="eastAsia" w:ascii="黑体" w:hAnsi="黑体" w:eastAsia="黑体" w:cs="黑体"/>
          <w:bCs w:val="0"/>
          <w:szCs w:val="30"/>
          <w:highlight w:val="none"/>
          <w:lang w:eastAsia="zh-CN"/>
        </w:rPr>
        <w:t>十六、</w:t>
      </w:r>
      <w:r>
        <w:rPr>
          <w:rFonts w:hint="eastAsia" w:ascii="黑体" w:hAnsi="黑体" w:eastAsia="黑体" w:cs="黑体"/>
          <w:bCs w:val="0"/>
          <w:szCs w:val="30"/>
          <w:highlight w:val="none"/>
        </w:rPr>
        <w:t>网上报名操作</w:t>
      </w:r>
      <w:r>
        <w:rPr>
          <w:rFonts w:hint="eastAsia" w:ascii="黑体" w:hAnsi="黑体" w:eastAsia="黑体" w:cs="黑体"/>
          <w:bCs w:val="0"/>
          <w:szCs w:val="30"/>
          <w:highlight w:val="none"/>
          <w:lang w:eastAsia="zh-CN"/>
        </w:rPr>
        <w:t>须知</w:t>
      </w:r>
      <w:r>
        <w:tab/>
      </w:r>
      <w:r>
        <w:fldChar w:fldCharType="begin"/>
      </w:r>
      <w:r>
        <w:instrText xml:space="preserve"> PAGEREF _Toc29858 </w:instrText>
      </w:r>
      <w:r>
        <w:fldChar w:fldCharType="separate"/>
      </w:r>
      <w:r>
        <w:t>18</w:t>
      </w:r>
      <w:r>
        <w:fldChar w:fldCharType="end"/>
      </w:r>
      <w:r>
        <w:fldChar w:fldCharType="end"/>
      </w:r>
    </w:p>
    <w:p>
      <w:pPr>
        <w:pStyle w:val="7"/>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outlineLvl w:val="9"/>
      </w:pPr>
      <w:r>
        <w:fldChar w:fldCharType="begin"/>
      </w:r>
      <w:r>
        <w:instrText xml:space="preserve"> HYPERLINK \l _Toc7320 </w:instrText>
      </w:r>
      <w:r>
        <w:fldChar w:fldCharType="separate"/>
      </w:r>
      <w:r>
        <w:rPr>
          <w:rFonts w:hint="eastAsia" w:ascii="黑体" w:hAnsi="黑体" w:eastAsia="黑体" w:cs="黑体"/>
          <w:bCs w:val="0"/>
          <w:szCs w:val="30"/>
          <w:highlight w:val="none"/>
          <w:lang w:eastAsia="zh-CN"/>
        </w:rPr>
        <w:t>十七、</w:t>
      </w:r>
      <w:r>
        <w:rPr>
          <w:rFonts w:hint="eastAsia" w:ascii="黑体" w:hAnsi="黑体" w:eastAsia="黑体" w:cs="黑体"/>
          <w:bCs w:val="0"/>
          <w:szCs w:val="30"/>
          <w:highlight w:val="none"/>
        </w:rPr>
        <w:t>疫情防控要求</w:t>
      </w:r>
      <w:r>
        <w:tab/>
      </w:r>
      <w:r>
        <w:fldChar w:fldCharType="begin"/>
      </w:r>
      <w:r>
        <w:instrText xml:space="preserve"> PAGEREF _Toc7320 </w:instrText>
      </w:r>
      <w:r>
        <w:fldChar w:fldCharType="separate"/>
      </w:r>
      <w:r>
        <w:t>18</w:t>
      </w:r>
      <w:r>
        <w:fldChar w:fldCharType="end"/>
      </w:r>
      <w:r>
        <w:fldChar w:fldCharType="end"/>
      </w:r>
    </w:p>
    <w:p>
      <w:pPr>
        <w:keepNext w:val="0"/>
        <w:keepLines w:val="0"/>
        <w:pageBreakBefore w:val="0"/>
        <w:kinsoku/>
        <w:wordWrap/>
        <w:overflowPunct/>
        <w:topLinePunct w:val="0"/>
        <w:autoSpaceDE/>
        <w:autoSpaceDN/>
        <w:bidi w:val="0"/>
        <w:spacing w:line="360" w:lineRule="auto"/>
        <w:ind w:firstLine="420" w:firstLineChars="200"/>
        <w:textAlignment w:val="auto"/>
      </w:pPr>
      <w:r>
        <w:fldChar w:fldCharType="end"/>
      </w:r>
    </w:p>
    <w:p>
      <w:pPr>
        <w:keepNext w:val="0"/>
        <w:keepLines w:val="0"/>
        <w:pageBreakBefore w:val="0"/>
        <w:kinsoku/>
        <w:wordWrap/>
        <w:overflowPunct/>
        <w:topLinePunct w:val="0"/>
        <w:autoSpaceDE/>
        <w:autoSpaceDN/>
        <w:bidi w:val="0"/>
        <w:spacing w:line="360" w:lineRule="auto"/>
        <w:ind w:firstLine="420" w:firstLineChars="200"/>
        <w:textAlignment w:val="auto"/>
      </w:pPr>
    </w:p>
    <w:p>
      <w:pPr>
        <w:keepNext w:val="0"/>
        <w:keepLines w:val="0"/>
        <w:pageBreakBefore w:val="0"/>
        <w:kinsoku/>
        <w:wordWrap/>
        <w:overflowPunct/>
        <w:topLinePunct w:val="0"/>
        <w:autoSpaceDE/>
        <w:autoSpaceDN/>
        <w:bidi w:val="0"/>
        <w:spacing w:line="360" w:lineRule="auto"/>
        <w:ind w:firstLine="420" w:firstLineChars="200"/>
        <w:textAlignment w:val="auto"/>
      </w:pPr>
    </w:p>
    <w:p>
      <w:pPr>
        <w:keepNext w:val="0"/>
        <w:keepLines w:val="0"/>
        <w:pageBreakBefore w:val="0"/>
        <w:kinsoku/>
        <w:wordWrap/>
        <w:overflowPunct/>
        <w:topLinePunct w:val="0"/>
        <w:autoSpaceDE/>
        <w:autoSpaceDN/>
        <w:bidi w:val="0"/>
        <w:spacing w:line="360" w:lineRule="auto"/>
        <w:ind w:firstLine="420" w:firstLineChars="200"/>
        <w:textAlignment w:val="auto"/>
      </w:pPr>
    </w:p>
    <w:p>
      <w:pPr>
        <w:keepNext w:val="0"/>
        <w:keepLines w:val="0"/>
        <w:pageBreakBefore w:val="0"/>
        <w:kinsoku/>
        <w:wordWrap/>
        <w:overflowPunct/>
        <w:topLinePunct w:val="0"/>
        <w:autoSpaceDE/>
        <w:autoSpaceDN/>
        <w:bidi w:val="0"/>
        <w:spacing w:line="360" w:lineRule="auto"/>
        <w:ind w:firstLine="420" w:firstLineChars="200"/>
        <w:textAlignment w:val="auto"/>
      </w:pPr>
    </w:p>
    <w:p>
      <w:pPr>
        <w:keepNext w:val="0"/>
        <w:keepLines w:val="0"/>
        <w:pageBreakBefore w:val="0"/>
        <w:kinsoku/>
        <w:wordWrap/>
        <w:overflowPunct/>
        <w:topLinePunct w:val="0"/>
        <w:autoSpaceDE/>
        <w:autoSpaceDN/>
        <w:bidi w:val="0"/>
        <w:spacing w:line="360" w:lineRule="auto"/>
        <w:ind w:firstLine="420" w:firstLineChars="200"/>
        <w:textAlignment w:val="auto"/>
      </w:pPr>
    </w:p>
    <w:p>
      <w:pPr>
        <w:keepNext w:val="0"/>
        <w:keepLines w:val="0"/>
        <w:pageBreakBefore w:val="0"/>
        <w:kinsoku/>
        <w:wordWrap/>
        <w:overflowPunct/>
        <w:topLinePunct w:val="0"/>
        <w:autoSpaceDE/>
        <w:autoSpaceDN/>
        <w:bidi w:val="0"/>
        <w:spacing w:line="360" w:lineRule="auto"/>
        <w:ind w:firstLine="420" w:firstLineChars="200"/>
        <w:textAlignment w:val="auto"/>
      </w:pPr>
    </w:p>
    <w:p>
      <w:pPr>
        <w:keepNext w:val="0"/>
        <w:keepLines w:val="0"/>
        <w:pageBreakBefore w:val="0"/>
        <w:kinsoku/>
        <w:wordWrap/>
        <w:overflowPunct/>
        <w:topLinePunct w:val="0"/>
        <w:autoSpaceDE/>
        <w:autoSpaceDN/>
        <w:bidi w:val="0"/>
        <w:spacing w:line="360" w:lineRule="auto"/>
        <w:ind w:firstLine="420" w:firstLineChars="200"/>
        <w:textAlignment w:val="auto"/>
      </w:pPr>
    </w:p>
    <w:p>
      <w:pPr>
        <w:keepNext w:val="0"/>
        <w:keepLines w:val="0"/>
        <w:pageBreakBefore w:val="0"/>
        <w:kinsoku/>
        <w:wordWrap/>
        <w:overflowPunct/>
        <w:topLinePunct w:val="0"/>
        <w:autoSpaceDE/>
        <w:autoSpaceDN/>
        <w:bidi w:val="0"/>
        <w:spacing w:line="360" w:lineRule="auto"/>
        <w:ind w:firstLine="420" w:firstLineChars="200"/>
        <w:textAlignment w:val="auto"/>
      </w:pPr>
    </w:p>
    <w:p>
      <w:pPr>
        <w:keepNext w:val="0"/>
        <w:keepLines w:val="0"/>
        <w:pageBreakBefore w:val="0"/>
        <w:kinsoku/>
        <w:wordWrap/>
        <w:overflowPunct/>
        <w:topLinePunct w:val="0"/>
        <w:autoSpaceDE/>
        <w:autoSpaceDN/>
        <w:bidi w:val="0"/>
        <w:spacing w:line="360" w:lineRule="auto"/>
        <w:ind w:firstLine="420" w:firstLineChars="200"/>
        <w:textAlignment w:val="auto"/>
      </w:pPr>
    </w:p>
    <w:p>
      <w:pPr>
        <w:keepNext w:val="0"/>
        <w:keepLines w:val="0"/>
        <w:pageBreakBefore w:val="0"/>
        <w:kinsoku/>
        <w:wordWrap/>
        <w:overflowPunct/>
        <w:topLinePunct w:val="0"/>
        <w:autoSpaceDE/>
        <w:autoSpaceDN/>
        <w:bidi w:val="0"/>
        <w:spacing w:line="360" w:lineRule="auto"/>
        <w:ind w:firstLine="420" w:firstLineChars="200"/>
        <w:textAlignment w:val="auto"/>
      </w:pPr>
    </w:p>
    <w:p>
      <w:pPr>
        <w:keepNext w:val="0"/>
        <w:keepLines w:val="0"/>
        <w:pageBreakBefore w:val="0"/>
        <w:kinsoku/>
        <w:wordWrap/>
        <w:overflowPunct/>
        <w:topLinePunct w:val="0"/>
        <w:autoSpaceDE/>
        <w:autoSpaceDN/>
        <w:bidi w:val="0"/>
        <w:spacing w:line="360" w:lineRule="auto"/>
        <w:ind w:firstLine="420" w:firstLineChars="200"/>
        <w:textAlignment w:val="auto"/>
      </w:pPr>
    </w:p>
    <w:p>
      <w:pPr>
        <w:keepNext w:val="0"/>
        <w:keepLines w:val="0"/>
        <w:pageBreakBefore w:val="0"/>
        <w:kinsoku/>
        <w:wordWrap/>
        <w:overflowPunct/>
        <w:topLinePunct w:val="0"/>
        <w:autoSpaceDE/>
        <w:autoSpaceDN/>
        <w:bidi w:val="0"/>
        <w:spacing w:line="360" w:lineRule="auto"/>
        <w:ind w:firstLine="420" w:firstLineChars="200"/>
        <w:textAlignment w:val="auto"/>
      </w:pP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为帮助报考者详细了解报考政策、相关事项及提醒需要注意的有关事项，按照做好常态化疫情防控前提下事业单位公开招聘工作的要求，根据事业单位招聘有关规定，厦门市</w:t>
      </w:r>
      <w:r>
        <w:rPr>
          <w:rFonts w:hint="eastAsia" w:ascii="仿宋_GB2312" w:hAnsi="仿宋_GB2312" w:eastAsia="仿宋_GB2312" w:cs="仿宋_GB2312"/>
          <w:color w:val="auto"/>
          <w:sz w:val="30"/>
          <w:szCs w:val="30"/>
          <w:highlight w:val="none"/>
          <w:lang w:val="en-US" w:eastAsia="zh-Hans"/>
        </w:rPr>
        <w:t>集美</w:t>
      </w:r>
      <w:r>
        <w:rPr>
          <w:rFonts w:hint="eastAsia" w:ascii="仿宋_GB2312" w:hAnsi="仿宋_GB2312" w:eastAsia="仿宋_GB2312" w:cs="仿宋_GB2312"/>
          <w:color w:val="auto"/>
          <w:sz w:val="30"/>
          <w:szCs w:val="30"/>
          <w:highlight w:val="none"/>
          <w:lang w:eastAsia="zh-CN"/>
        </w:rPr>
        <w:t>区</w:t>
      </w:r>
      <w:r>
        <w:rPr>
          <w:rFonts w:hint="eastAsia" w:ascii="仿宋_GB2312" w:hAnsi="仿宋_GB2312" w:eastAsia="仿宋_GB2312" w:cs="仿宋_GB2312"/>
          <w:color w:val="auto"/>
          <w:sz w:val="30"/>
          <w:szCs w:val="30"/>
          <w:highlight w:val="none"/>
        </w:rPr>
        <w:t>人力资源和社会保障局（以下简称“区人社局”）编写了《厦门市</w:t>
      </w:r>
      <w:r>
        <w:rPr>
          <w:rFonts w:hint="eastAsia" w:ascii="仿宋_GB2312" w:hAnsi="仿宋_GB2312" w:eastAsia="仿宋_GB2312" w:cs="仿宋_GB2312"/>
          <w:color w:val="auto"/>
          <w:sz w:val="30"/>
          <w:szCs w:val="30"/>
          <w:highlight w:val="none"/>
          <w:lang w:val="en-US" w:eastAsia="zh-Hans"/>
        </w:rPr>
        <w:t>集美</w:t>
      </w:r>
      <w:r>
        <w:rPr>
          <w:rFonts w:hint="eastAsia" w:ascii="仿宋_GB2312" w:hAnsi="仿宋_GB2312" w:eastAsia="仿宋_GB2312" w:cs="仿宋_GB2312"/>
          <w:color w:val="auto"/>
          <w:sz w:val="30"/>
          <w:szCs w:val="30"/>
          <w:highlight w:val="none"/>
          <w:lang w:eastAsia="zh-CN"/>
        </w:rPr>
        <w:t>区</w:t>
      </w:r>
      <w:r>
        <w:rPr>
          <w:rFonts w:hint="eastAsia" w:ascii="仿宋_GB2312" w:hAnsi="仿宋_GB2312" w:eastAsia="仿宋_GB2312" w:cs="仿宋_GB2312"/>
          <w:color w:val="auto"/>
          <w:sz w:val="30"/>
          <w:szCs w:val="30"/>
          <w:highlight w:val="none"/>
        </w:rPr>
        <w:t>所属事业单位</w:t>
      </w:r>
      <w:r>
        <w:rPr>
          <w:rFonts w:hint="eastAsia" w:ascii="仿宋_GB2312" w:hAnsi="仿宋_GB2312" w:eastAsia="仿宋_GB2312" w:cs="仿宋_GB2312"/>
          <w:color w:val="auto"/>
          <w:sz w:val="30"/>
          <w:szCs w:val="30"/>
          <w:highlight w:val="none"/>
          <w:lang w:eastAsia="zh-CN"/>
        </w:rPr>
        <w:t>公开</w:t>
      </w:r>
      <w:r>
        <w:rPr>
          <w:rFonts w:hint="eastAsia" w:ascii="仿宋_GB2312" w:hAnsi="仿宋_GB2312" w:eastAsia="仿宋_GB2312" w:cs="仿宋_GB2312"/>
          <w:color w:val="auto"/>
          <w:sz w:val="30"/>
          <w:szCs w:val="30"/>
          <w:highlight w:val="none"/>
        </w:rPr>
        <w:t>招聘编内</w:t>
      </w:r>
      <w:r>
        <w:rPr>
          <w:rFonts w:hint="eastAsia" w:ascii="仿宋_GB2312" w:hAnsi="仿宋_GB2312" w:eastAsia="仿宋_GB2312" w:cs="仿宋_GB2312"/>
          <w:color w:val="auto"/>
          <w:sz w:val="30"/>
          <w:szCs w:val="30"/>
          <w:highlight w:val="none"/>
          <w:lang w:eastAsia="zh-CN"/>
        </w:rPr>
        <w:t>卫生</w:t>
      </w:r>
      <w:r>
        <w:rPr>
          <w:rFonts w:hint="eastAsia" w:ascii="仿宋_GB2312" w:hAnsi="仿宋_GB2312" w:eastAsia="仿宋_GB2312" w:cs="仿宋_GB2312"/>
          <w:color w:val="auto"/>
          <w:sz w:val="30"/>
          <w:szCs w:val="30"/>
          <w:highlight w:val="none"/>
          <w:lang w:val="en-US" w:eastAsia="zh-Hans"/>
        </w:rPr>
        <w:t>技术</w:t>
      </w:r>
      <w:r>
        <w:rPr>
          <w:rFonts w:hint="eastAsia" w:ascii="仿宋_GB2312" w:hAnsi="仿宋_GB2312" w:eastAsia="仿宋_GB2312" w:cs="仿宋_GB2312"/>
          <w:color w:val="auto"/>
          <w:sz w:val="30"/>
          <w:szCs w:val="30"/>
          <w:highlight w:val="none"/>
        </w:rPr>
        <w:t>人员报考</w:t>
      </w:r>
      <w:r>
        <w:rPr>
          <w:rFonts w:hint="eastAsia" w:ascii="仿宋_GB2312" w:hAnsi="仿宋_GB2312" w:eastAsia="仿宋_GB2312" w:cs="仿宋_GB2312"/>
          <w:color w:val="auto"/>
          <w:sz w:val="30"/>
          <w:szCs w:val="30"/>
          <w:highlight w:val="none"/>
          <w:lang w:eastAsia="zh-CN"/>
        </w:rPr>
        <w:t>须知</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2022年4月</w:t>
      </w:r>
      <w:r>
        <w:rPr>
          <w:rFonts w:hint="eastAsia" w:ascii="仿宋_GB2312" w:hAnsi="仿宋_GB2312" w:eastAsia="仿宋_GB2312" w:cs="仿宋_GB2312"/>
          <w:color w:val="auto"/>
          <w:sz w:val="30"/>
          <w:szCs w:val="30"/>
          <w:highlight w:val="none"/>
        </w:rPr>
        <w:t>）》。本</w:t>
      </w:r>
      <w:r>
        <w:rPr>
          <w:rFonts w:hint="eastAsia" w:ascii="仿宋_GB2312" w:hAnsi="仿宋_GB2312" w:eastAsia="仿宋_GB2312" w:cs="仿宋_GB2312"/>
          <w:color w:val="auto"/>
          <w:sz w:val="30"/>
          <w:szCs w:val="30"/>
          <w:highlight w:val="none"/>
          <w:lang w:eastAsia="zh-CN"/>
        </w:rPr>
        <w:t>须知</w:t>
      </w:r>
      <w:r>
        <w:rPr>
          <w:rFonts w:hint="eastAsia" w:ascii="仿宋_GB2312" w:hAnsi="仿宋_GB2312" w:eastAsia="仿宋_GB2312" w:cs="仿宋_GB2312"/>
          <w:color w:val="auto"/>
          <w:sz w:val="30"/>
          <w:szCs w:val="30"/>
          <w:highlight w:val="none"/>
        </w:rPr>
        <w:t>仅适用于厦门市</w:t>
      </w:r>
      <w:r>
        <w:rPr>
          <w:rFonts w:hint="eastAsia" w:ascii="仿宋_GB2312" w:hAnsi="仿宋_GB2312" w:eastAsia="仿宋_GB2312" w:cs="仿宋_GB2312"/>
          <w:color w:val="auto"/>
          <w:sz w:val="30"/>
          <w:szCs w:val="30"/>
          <w:highlight w:val="none"/>
          <w:lang w:val="en-US" w:eastAsia="zh-Hans"/>
        </w:rPr>
        <w:t>集美</w:t>
      </w:r>
      <w:r>
        <w:rPr>
          <w:rFonts w:hint="eastAsia" w:ascii="仿宋_GB2312" w:hAnsi="仿宋_GB2312" w:eastAsia="仿宋_GB2312" w:cs="仿宋_GB2312"/>
          <w:color w:val="auto"/>
          <w:sz w:val="30"/>
          <w:szCs w:val="30"/>
          <w:highlight w:val="none"/>
          <w:lang w:eastAsia="zh-CN"/>
        </w:rPr>
        <w:t>区</w:t>
      </w:r>
      <w:r>
        <w:rPr>
          <w:rFonts w:hint="eastAsia" w:ascii="仿宋_GB2312" w:hAnsi="仿宋_GB2312" w:eastAsia="仿宋_GB2312" w:cs="仿宋_GB2312"/>
          <w:color w:val="auto"/>
          <w:sz w:val="30"/>
          <w:szCs w:val="30"/>
          <w:highlight w:val="none"/>
        </w:rPr>
        <w:t>所属事业单位</w:t>
      </w:r>
      <w:r>
        <w:rPr>
          <w:rFonts w:hint="eastAsia" w:ascii="仿宋_GB2312" w:hAnsi="仿宋_GB2312" w:eastAsia="仿宋_GB2312" w:cs="仿宋_GB2312"/>
          <w:color w:val="auto"/>
          <w:sz w:val="30"/>
          <w:szCs w:val="30"/>
          <w:highlight w:val="none"/>
          <w:lang w:eastAsia="zh-CN"/>
        </w:rPr>
        <w:t>公开</w:t>
      </w:r>
      <w:r>
        <w:rPr>
          <w:rFonts w:hint="eastAsia" w:ascii="仿宋_GB2312" w:hAnsi="仿宋_GB2312" w:eastAsia="仿宋_GB2312" w:cs="仿宋_GB2312"/>
          <w:color w:val="auto"/>
          <w:sz w:val="30"/>
          <w:szCs w:val="30"/>
          <w:highlight w:val="none"/>
        </w:rPr>
        <w:t>招聘编内卫生</w:t>
      </w:r>
      <w:r>
        <w:rPr>
          <w:rFonts w:hint="eastAsia" w:ascii="仿宋_GB2312" w:hAnsi="仿宋_GB2312" w:eastAsia="仿宋_GB2312" w:cs="仿宋_GB2312"/>
          <w:color w:val="auto"/>
          <w:sz w:val="30"/>
          <w:szCs w:val="30"/>
          <w:highlight w:val="none"/>
          <w:lang w:val="en-US" w:eastAsia="zh-Hans"/>
        </w:rPr>
        <w:t>技术</w:t>
      </w:r>
      <w:r>
        <w:rPr>
          <w:rFonts w:hint="eastAsia" w:ascii="仿宋_GB2312" w:hAnsi="仿宋_GB2312" w:eastAsia="仿宋_GB2312" w:cs="仿宋_GB2312"/>
          <w:color w:val="auto"/>
          <w:sz w:val="30"/>
          <w:szCs w:val="30"/>
          <w:highlight w:val="none"/>
        </w:rPr>
        <w:t>人员考试（</w:t>
      </w:r>
      <w:r>
        <w:rPr>
          <w:rFonts w:hint="eastAsia" w:ascii="仿宋_GB2312" w:hAnsi="仿宋_GB2312" w:eastAsia="仿宋_GB2312" w:cs="仿宋_GB2312"/>
          <w:color w:val="auto"/>
          <w:sz w:val="30"/>
          <w:szCs w:val="30"/>
          <w:highlight w:val="none"/>
          <w:lang w:val="en-US" w:eastAsia="zh-CN"/>
        </w:rPr>
        <w:t>2022年4月</w:t>
      </w:r>
      <w:r>
        <w:rPr>
          <w:rFonts w:hint="eastAsia" w:ascii="仿宋_GB2312" w:hAnsi="仿宋_GB2312" w:eastAsia="仿宋_GB2312" w:cs="仿宋_GB2312"/>
          <w:color w:val="auto"/>
          <w:sz w:val="30"/>
          <w:szCs w:val="30"/>
          <w:highlight w:val="none"/>
        </w:rPr>
        <w:t>），由区人社局负责解释。</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600" w:firstLineChars="200"/>
        <w:textAlignment w:val="auto"/>
        <w:outlineLvl w:val="0"/>
        <w:rPr>
          <w:rFonts w:hint="eastAsia" w:ascii="黑体" w:hAnsi="黑体" w:eastAsia="黑体" w:cs="黑体"/>
          <w:b w:val="0"/>
          <w:bCs w:val="0"/>
          <w:color w:val="auto"/>
          <w:sz w:val="30"/>
          <w:szCs w:val="30"/>
          <w:highlight w:val="none"/>
        </w:rPr>
      </w:pPr>
      <w:bookmarkStart w:id="1" w:name="_Toc857"/>
      <w:bookmarkStart w:id="2" w:name="_Toc12367"/>
      <w:bookmarkStart w:id="3" w:name="_Toc17926"/>
      <w:r>
        <w:rPr>
          <w:rFonts w:hint="eastAsia" w:ascii="黑体" w:hAnsi="黑体" w:eastAsia="黑体" w:cs="黑体"/>
          <w:b w:val="0"/>
          <w:bCs w:val="0"/>
          <w:color w:val="auto"/>
          <w:sz w:val="30"/>
          <w:szCs w:val="30"/>
          <w:highlight w:val="none"/>
          <w:lang w:eastAsia="zh-CN"/>
        </w:rPr>
        <w:t>一、</w:t>
      </w:r>
      <w:r>
        <w:rPr>
          <w:rFonts w:hint="eastAsia" w:ascii="黑体" w:hAnsi="黑体" w:eastAsia="黑体" w:cs="黑体"/>
          <w:b w:val="0"/>
          <w:bCs w:val="0"/>
          <w:color w:val="auto"/>
          <w:sz w:val="30"/>
          <w:szCs w:val="30"/>
          <w:highlight w:val="none"/>
        </w:rPr>
        <w:t>基本条件</w:t>
      </w:r>
      <w:bookmarkEnd w:id="1"/>
      <w:bookmarkEnd w:id="2"/>
      <w:bookmarkEnd w:id="3"/>
    </w:p>
    <w:p>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（一）具有中华人民共和国国籍；</w:t>
      </w:r>
    </w:p>
    <w:p>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（二）拥护中华人民共和国宪法,拥护中国共产党领导和社会主义制度； </w:t>
      </w:r>
    </w:p>
    <w:p>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（三）具有良好的政治素质和道德品行，具有正常履行职责的身心条件；</w:t>
      </w:r>
    </w:p>
    <w:p>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（四）18周岁以上、35周岁以下（在198</w:t>
      </w:r>
      <w:r>
        <w:rPr>
          <w:rFonts w:hint="eastAsia" w:ascii="仿宋_GB2312" w:hAnsi="仿宋_GB2312" w:eastAsia="仿宋_GB2312" w:cs="仿宋_GB2312"/>
          <w:color w:val="auto"/>
          <w:sz w:val="30"/>
          <w:szCs w:val="30"/>
          <w:highlight w:val="none"/>
          <w:lang w:val="en-US" w:eastAsia="zh-CN"/>
        </w:rPr>
        <w:t>6</w:t>
      </w:r>
      <w:r>
        <w:rPr>
          <w:rFonts w:hint="eastAsia" w:ascii="仿宋_GB2312" w:hAnsi="仿宋_GB2312" w:eastAsia="仿宋_GB2312" w:cs="仿宋_GB2312"/>
          <w:color w:val="auto"/>
          <w:sz w:val="30"/>
          <w:szCs w:val="30"/>
          <w:highlight w:val="none"/>
        </w:rPr>
        <w:t>年</w:t>
      </w:r>
      <w:r>
        <w:rPr>
          <w:rFonts w:hint="eastAsia" w:ascii="仿宋_GB2312" w:hAnsi="仿宋_GB2312" w:eastAsia="仿宋_GB2312" w:cs="仿宋_GB2312"/>
          <w:color w:val="auto"/>
          <w:sz w:val="30"/>
          <w:szCs w:val="30"/>
          <w:highlight w:val="none"/>
          <w:lang w:val="en-US" w:eastAsia="zh-CN"/>
        </w:rPr>
        <w:t>5</w:t>
      </w:r>
      <w:r>
        <w:rPr>
          <w:rFonts w:hint="eastAsia" w:ascii="仿宋_GB2312" w:hAnsi="仿宋_GB2312" w:eastAsia="仿宋_GB2312" w:cs="仿宋_GB2312"/>
          <w:color w:val="auto"/>
          <w:sz w:val="30"/>
          <w:szCs w:val="30"/>
          <w:highlight w:val="none"/>
        </w:rPr>
        <w:t>月至200</w:t>
      </w:r>
      <w:r>
        <w:rPr>
          <w:rFonts w:hint="eastAsia" w:ascii="仿宋_GB2312" w:hAnsi="仿宋_GB2312" w:eastAsia="仿宋_GB2312" w:cs="仿宋_GB2312"/>
          <w:color w:val="auto"/>
          <w:sz w:val="30"/>
          <w:szCs w:val="30"/>
          <w:highlight w:val="none"/>
          <w:lang w:val="en-US" w:eastAsia="zh-CN"/>
        </w:rPr>
        <w:t>4</w:t>
      </w:r>
      <w:r>
        <w:rPr>
          <w:rFonts w:hint="eastAsia" w:ascii="仿宋_GB2312" w:hAnsi="仿宋_GB2312" w:eastAsia="仿宋_GB2312" w:cs="仿宋_GB2312"/>
          <w:color w:val="auto"/>
          <w:sz w:val="30"/>
          <w:szCs w:val="30"/>
          <w:highlight w:val="none"/>
        </w:rPr>
        <w:t>年</w:t>
      </w:r>
      <w:r>
        <w:rPr>
          <w:rFonts w:hint="eastAsia" w:ascii="仿宋_GB2312" w:hAnsi="仿宋_GB2312" w:eastAsia="仿宋_GB2312" w:cs="仿宋_GB2312"/>
          <w:color w:val="auto"/>
          <w:sz w:val="30"/>
          <w:szCs w:val="30"/>
          <w:highlight w:val="none"/>
          <w:lang w:val="en-US" w:eastAsia="zh-CN"/>
        </w:rPr>
        <w:t>5</w:t>
      </w:r>
      <w:r>
        <w:rPr>
          <w:rFonts w:hint="eastAsia" w:ascii="仿宋_GB2312" w:hAnsi="仿宋_GB2312" w:eastAsia="仿宋_GB2312" w:cs="仿宋_GB2312"/>
          <w:color w:val="auto"/>
          <w:sz w:val="30"/>
          <w:szCs w:val="30"/>
          <w:highlight w:val="none"/>
        </w:rPr>
        <w:t>月期间出生），对年龄条件另有要求的，以岗位要求为准</w:t>
      </w:r>
      <w:r>
        <w:rPr>
          <w:rFonts w:hint="eastAsia" w:ascii="仿宋_GB2312" w:hAnsi="仿宋_GB2312" w:eastAsia="仿宋_GB2312" w:cs="仿宋_GB2312"/>
          <w:color w:val="auto"/>
          <w:sz w:val="30"/>
          <w:szCs w:val="30"/>
          <w:highlight w:val="none"/>
          <w:lang w:val="en-US" w:eastAsia="zh-CN"/>
        </w:rPr>
        <w:t>；</w:t>
      </w:r>
    </w:p>
    <w:p>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（五）</w:t>
      </w:r>
      <w:r>
        <w:rPr>
          <w:rFonts w:hint="eastAsia" w:ascii="仿宋_GB2312" w:hAnsi="仿宋_GB2312" w:eastAsia="仿宋_GB2312" w:cs="仿宋_GB2312"/>
          <w:color w:val="auto"/>
          <w:sz w:val="30"/>
          <w:szCs w:val="30"/>
          <w:highlight w:val="none"/>
        </w:rPr>
        <w:t>具备招聘岗位设置的资格条件。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600" w:firstLineChars="200"/>
        <w:textAlignment w:val="auto"/>
        <w:outlineLvl w:val="0"/>
        <w:rPr>
          <w:rFonts w:hint="eastAsia" w:ascii="仿宋_GB2312" w:hAnsi="仿宋_GB2312" w:eastAsia="仿宋_GB2312" w:cs="仿宋_GB2312"/>
          <w:b w:val="0"/>
          <w:bCs w:val="0"/>
          <w:color w:val="auto"/>
          <w:sz w:val="30"/>
          <w:szCs w:val="30"/>
          <w:highlight w:val="none"/>
        </w:rPr>
      </w:pPr>
      <w:bookmarkStart w:id="4" w:name="_Toc30803"/>
      <w:bookmarkStart w:id="5" w:name="_Toc14170"/>
      <w:bookmarkStart w:id="6" w:name="_Toc2819"/>
      <w:r>
        <w:rPr>
          <w:rFonts w:hint="eastAsia" w:ascii="仿宋_GB2312" w:hAnsi="仿宋_GB2312" w:eastAsia="仿宋_GB2312" w:cs="仿宋_GB2312"/>
          <w:b w:val="0"/>
          <w:bCs w:val="0"/>
          <w:color w:val="auto"/>
          <w:sz w:val="30"/>
          <w:szCs w:val="30"/>
          <w:highlight w:val="none"/>
          <w:lang w:eastAsia="zh-CN"/>
        </w:rPr>
        <w:t>二、</w:t>
      </w:r>
      <w:r>
        <w:rPr>
          <w:rFonts w:hint="eastAsia" w:ascii="仿宋_GB2312" w:hAnsi="仿宋_GB2312" w:eastAsia="仿宋_GB2312" w:cs="仿宋_GB2312"/>
          <w:b w:val="0"/>
          <w:bCs w:val="0"/>
          <w:color w:val="auto"/>
          <w:sz w:val="30"/>
          <w:szCs w:val="30"/>
          <w:highlight w:val="none"/>
        </w:rPr>
        <w:t>不得报考或取消报考（聘用）资格的情形</w:t>
      </w:r>
      <w:bookmarkEnd w:id="4"/>
      <w:bookmarkEnd w:id="5"/>
      <w:bookmarkEnd w:id="6"/>
    </w:p>
    <w:p>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（一）曾因犯罪受过刑事处罚的；</w:t>
      </w:r>
    </w:p>
    <w:p>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（二）曾被开除公职或开除中国共产党党籍的；</w:t>
      </w:r>
    </w:p>
    <w:p>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（三）被依法列为失信联合惩戒对象的；</w:t>
      </w:r>
    </w:p>
    <w:p>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（四）在各级公务员或事业单位招考中被认定有舞弊等严重违反录(聘)用纪律行为的；</w:t>
      </w:r>
    </w:p>
    <w:p>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（五）公务员或参照公务员法管理机关（单位）工作人员（以下简称“参公人员”）被辞退未满5年的；</w:t>
      </w:r>
    </w:p>
    <w:p>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（六）试用期内的公务员或参公人员；未达到与当地公务员主管部门或单位组织人事部门约定服务年限的公务员和参公人员；</w:t>
      </w:r>
    </w:p>
    <w:p>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（七）现役军人及普通高等院校全日制在读的非应届毕业生（即2023年及以后才学业期满的全日制普通教育学生）；</w:t>
      </w:r>
    </w:p>
    <w:p>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（八）涉嫌违法犯罪正在接受司法调查尚未做出结论的，或尚未解除党（政）纪处分的，或正在接受纪律审查的; </w:t>
      </w:r>
    </w:p>
    <w:p>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（九）聘用后即构成应回避关系的；</w:t>
      </w:r>
    </w:p>
    <w:p>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（十）工作期间曾发生医疗事故负有主要责任的；</w:t>
      </w:r>
    </w:p>
    <w:p>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（十一）法律法规规章规定不得聘为事业单位人员的其他情形。  </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福建省内机关、事业单位、公立医疗卫生机构工作人员须征得所在单位同意方可报名，并须在面试资格复核时提供所在单位同意报考书面证明；确有实际困难的，经招聘单位及其主管部门同意，可在体检或考察时提供同意报考证明。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600" w:firstLineChars="200"/>
        <w:textAlignment w:val="auto"/>
        <w:outlineLvl w:val="0"/>
        <w:rPr>
          <w:rFonts w:hint="eastAsia" w:ascii="黑体" w:hAnsi="黑体" w:eastAsia="黑体" w:cs="黑体"/>
          <w:b w:val="0"/>
          <w:bCs w:val="0"/>
          <w:color w:val="auto"/>
          <w:sz w:val="30"/>
          <w:szCs w:val="30"/>
          <w:highlight w:val="none"/>
        </w:rPr>
      </w:pPr>
      <w:bookmarkStart w:id="7" w:name="_Toc26550"/>
      <w:bookmarkStart w:id="8" w:name="_Toc1545"/>
      <w:r>
        <w:rPr>
          <w:rFonts w:hint="eastAsia" w:ascii="黑体" w:hAnsi="黑体" w:eastAsia="黑体" w:cs="黑体"/>
          <w:b w:val="0"/>
          <w:bCs w:val="0"/>
          <w:color w:val="auto"/>
          <w:sz w:val="30"/>
          <w:szCs w:val="30"/>
          <w:highlight w:val="none"/>
          <w:lang w:eastAsia="zh-CN"/>
        </w:rPr>
        <w:t>三、</w:t>
      </w:r>
      <w:r>
        <w:rPr>
          <w:rFonts w:hint="eastAsia" w:ascii="黑体" w:hAnsi="黑体" w:eastAsia="黑体" w:cs="黑体"/>
          <w:b w:val="0"/>
          <w:bCs w:val="0"/>
          <w:color w:val="auto"/>
          <w:sz w:val="30"/>
          <w:szCs w:val="30"/>
          <w:highlight w:val="none"/>
        </w:rPr>
        <w:t>选报岗位</w:t>
      </w:r>
      <w:bookmarkEnd w:id="7"/>
      <w:bookmarkEnd w:id="8"/>
    </w:p>
    <w:p>
      <w:pPr>
        <w:keepNext w:val="0"/>
        <w:keepLines w:val="0"/>
        <w:pageBreakBefore w:val="0"/>
        <w:kinsoku/>
        <w:wordWrap/>
        <w:overflowPunct/>
        <w:topLinePunct w:val="0"/>
        <w:autoSpaceDE/>
        <w:autoSpaceDN/>
        <w:bidi w:val="0"/>
        <w:spacing w:line="360" w:lineRule="auto"/>
        <w:ind w:firstLine="602" w:firstLineChars="200"/>
        <w:textAlignment w:val="auto"/>
        <w:outlineLvl w:val="1"/>
        <w:rPr>
          <w:rFonts w:hint="eastAsia" w:ascii="仿宋_GB2312" w:hAnsi="仿宋_GB2312" w:eastAsia="仿宋_GB2312" w:cs="仿宋_GB2312"/>
          <w:b/>
          <w:color w:val="auto"/>
          <w:sz w:val="30"/>
          <w:szCs w:val="30"/>
          <w:highlight w:val="none"/>
        </w:rPr>
      </w:pPr>
      <w:bookmarkStart w:id="9" w:name="_Toc1990"/>
      <w:bookmarkStart w:id="10" w:name="_Toc27736"/>
      <w:r>
        <w:rPr>
          <w:rFonts w:hint="eastAsia" w:ascii="仿宋_GB2312" w:hAnsi="仿宋_GB2312" w:eastAsia="仿宋_GB2312" w:cs="仿宋_GB2312"/>
          <w:b/>
          <w:color w:val="auto"/>
          <w:sz w:val="30"/>
          <w:szCs w:val="30"/>
          <w:highlight w:val="none"/>
        </w:rPr>
        <w:t>（一）报考条件确认</w:t>
      </w:r>
      <w:bookmarkEnd w:id="9"/>
      <w:bookmarkEnd w:id="10"/>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1.报考者须在报名时，全面、逐项对照招聘岗位和招聘简章等要求，确认符合报考资格条件</w:t>
      </w:r>
      <w:r>
        <w:rPr>
          <w:rFonts w:hint="eastAsia" w:ascii="仿宋_GB2312" w:hAnsi="仿宋_GB2312" w:eastAsia="仿宋_GB2312" w:cs="仿宋_GB2312"/>
          <w:color w:val="auto"/>
          <w:sz w:val="30"/>
          <w:szCs w:val="30"/>
          <w:highlight w:val="none"/>
          <w:lang w:eastAsia="zh-Hans"/>
        </w:rPr>
        <w:t>，</w:t>
      </w:r>
      <w:r>
        <w:rPr>
          <w:rFonts w:hint="eastAsia" w:ascii="仿宋_GB2312" w:hAnsi="仿宋_GB2312" w:eastAsia="仿宋_GB2312" w:cs="仿宋_GB2312"/>
          <w:color w:val="auto"/>
          <w:sz w:val="30"/>
          <w:szCs w:val="30"/>
          <w:highlight w:val="none"/>
        </w:rPr>
        <w:t xml:space="preserve">并须对本人的报名资格及所提供材料的真实性负责。 </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 本次考试采取网上报名，</w:t>
      </w:r>
      <w:r>
        <w:rPr>
          <w:rFonts w:hint="eastAsia" w:ascii="仿宋_GB2312" w:hAnsi="仿宋_GB2312" w:eastAsia="仿宋_GB2312" w:cs="仿宋_GB2312"/>
          <w:color w:val="auto"/>
          <w:sz w:val="30"/>
          <w:szCs w:val="30"/>
          <w:highlight w:val="none"/>
          <w:lang w:eastAsia="zh-CN"/>
        </w:rPr>
        <w:t>请报考者登陆</w:t>
      </w:r>
      <w:r>
        <w:rPr>
          <w:rFonts w:hint="eastAsia" w:ascii="仿宋_GB2312" w:hAnsi="仿宋_GB2312" w:eastAsia="仿宋_GB2312" w:cs="仿宋_GB2312"/>
          <w:color w:val="auto"/>
          <w:sz w:val="30"/>
          <w:szCs w:val="30"/>
          <w:highlight w:val="none"/>
        </w:rPr>
        <w:t>厦门市卫生健康事业单位招聘考试系统（以下简称“报名系统”，网址：http://120.41.250.30/index.aspx）</w:t>
      </w:r>
      <w:r>
        <w:rPr>
          <w:rFonts w:hint="eastAsia" w:ascii="仿宋_GB2312" w:hAnsi="仿宋_GB2312" w:eastAsia="仿宋_GB2312" w:cs="仿宋_GB2312"/>
          <w:color w:val="auto"/>
          <w:sz w:val="30"/>
          <w:szCs w:val="30"/>
          <w:highlight w:val="none"/>
          <w:lang w:eastAsia="zh-CN"/>
        </w:rPr>
        <w:t>进行报名</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曾在报名系统注册信息的考生，可使用原有的用户名和密码登陆，根据系统提示进行个人信息的更新维护及本次考试的报名。</w:t>
      </w:r>
      <w:r>
        <w:rPr>
          <w:rFonts w:hint="eastAsia" w:ascii="仿宋_GB2312" w:hAnsi="仿宋_GB2312" w:eastAsia="仿宋_GB2312" w:cs="仿宋_GB2312"/>
          <w:color w:val="auto"/>
          <w:sz w:val="30"/>
          <w:szCs w:val="30"/>
          <w:highlight w:val="none"/>
        </w:rPr>
        <w:t>每名报考者只能报考1个岗位，通过资格初审后不得更改，并以通过资格初审的岗位参加考试。</w:t>
      </w:r>
    </w:p>
    <w:p>
      <w:pPr>
        <w:pStyle w:val="9"/>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0" w:afterAutospacing="0" w:line="360" w:lineRule="auto"/>
        <w:ind w:right="0" w:firstLine="600" w:firstLineChars="200"/>
        <w:textAlignment w:val="auto"/>
        <w:outlineLvl w:val="9"/>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3.请符合报考条件的人员尽早报名，防止出现网络拥堵无法成功报名，错失考试机会。</w:t>
      </w:r>
    </w:p>
    <w:p>
      <w:pPr>
        <w:keepNext w:val="0"/>
        <w:keepLines w:val="0"/>
        <w:pageBreakBefore w:val="0"/>
        <w:kinsoku/>
        <w:wordWrap/>
        <w:overflowPunct/>
        <w:topLinePunct w:val="0"/>
        <w:autoSpaceDE/>
        <w:autoSpaceDN/>
        <w:bidi w:val="0"/>
        <w:spacing w:line="360" w:lineRule="auto"/>
        <w:ind w:firstLine="602" w:firstLineChars="200"/>
        <w:textAlignment w:val="auto"/>
        <w:outlineLvl w:val="1"/>
        <w:rPr>
          <w:rFonts w:hint="eastAsia" w:ascii="仿宋_GB2312" w:hAnsi="仿宋_GB2312" w:eastAsia="仿宋_GB2312" w:cs="仿宋_GB2312"/>
          <w:b/>
          <w:color w:val="auto"/>
          <w:sz w:val="30"/>
          <w:szCs w:val="30"/>
          <w:highlight w:val="none"/>
        </w:rPr>
      </w:pPr>
      <w:bookmarkStart w:id="11" w:name="_Toc6557"/>
      <w:bookmarkStart w:id="12" w:name="_Toc19188"/>
      <w:r>
        <w:rPr>
          <w:rFonts w:hint="eastAsia" w:ascii="仿宋_GB2312" w:hAnsi="仿宋_GB2312" w:eastAsia="仿宋_GB2312" w:cs="仿宋_GB2312"/>
          <w:b/>
          <w:color w:val="auto"/>
          <w:sz w:val="30"/>
          <w:szCs w:val="30"/>
          <w:highlight w:val="none"/>
        </w:rPr>
        <w:t>（二）照片要求</w:t>
      </w:r>
      <w:bookmarkEnd w:id="11"/>
      <w:bookmarkEnd w:id="12"/>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请提交近期正面免冠二寸彩色数码证件照（jpg格式，规格200K以下）。</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以下为常见不合格照片：①着制式服装照（公安、工商、武警等）；②着帽子或太醒目、夸张首饰等；③模糊不清晰的；④眼镜反光的；⑤明显不是个人照片的（如风景照、名人照等）； ⑥随意自拍的半身照，全身照等无法看清楚脸的；⑦头发刘海遮挡面大的；⑧照片比例变形的；⑨手持证件的照片；⑩其他难以清晰辨认的。</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报考者因未在规定时限内提交合格照片造成无法打印准考证的，视为自动放弃考试资格。</w:t>
      </w:r>
    </w:p>
    <w:p>
      <w:pPr>
        <w:keepNext w:val="0"/>
        <w:keepLines w:val="0"/>
        <w:pageBreakBefore w:val="0"/>
        <w:numPr>
          <w:ilvl w:val="0"/>
          <w:numId w:val="1"/>
        </w:numPr>
        <w:kinsoku/>
        <w:wordWrap/>
        <w:overflowPunct/>
        <w:topLinePunct w:val="0"/>
        <w:autoSpaceDE/>
        <w:autoSpaceDN/>
        <w:bidi w:val="0"/>
        <w:adjustRightInd/>
        <w:snapToGrid/>
        <w:spacing w:line="360" w:lineRule="auto"/>
        <w:ind w:firstLine="602" w:firstLineChars="200"/>
        <w:textAlignment w:val="auto"/>
        <w:outlineLvl w:val="1"/>
        <w:rPr>
          <w:rFonts w:hint="eastAsia" w:ascii="仿宋_GB2312" w:hAnsi="仿宋_GB2312" w:eastAsia="仿宋_GB2312" w:cs="仿宋_GB2312"/>
          <w:b/>
          <w:color w:val="auto"/>
          <w:sz w:val="30"/>
          <w:szCs w:val="30"/>
          <w:highlight w:val="none"/>
        </w:rPr>
      </w:pPr>
      <w:bookmarkStart w:id="13" w:name="_Toc23753"/>
      <w:bookmarkStart w:id="14" w:name="_Toc15794"/>
      <w:bookmarkStart w:id="15" w:name="_Toc50132323"/>
      <w:r>
        <w:rPr>
          <w:rFonts w:hint="eastAsia" w:ascii="仿宋_GB2312" w:hAnsi="仿宋_GB2312" w:eastAsia="仿宋_GB2312" w:cs="仿宋_GB2312"/>
          <w:b/>
          <w:color w:val="auto"/>
          <w:sz w:val="30"/>
          <w:szCs w:val="30"/>
          <w:highlight w:val="none"/>
        </w:rPr>
        <w:t>个人简历</w:t>
      </w:r>
      <w:bookmarkEnd w:id="13"/>
      <w:bookmarkEnd w:id="14"/>
      <w:bookmarkEnd w:id="15"/>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w:t>
      </w:r>
      <w:bookmarkStart w:id="16" w:name="_Toc11175"/>
      <w:bookmarkStart w:id="17" w:name="_Toc28349"/>
      <w:bookmarkStart w:id="18" w:name="_Toc5535"/>
      <w:bookmarkStart w:id="19" w:name="_Toc29293"/>
      <w:bookmarkStart w:id="20" w:name="_Toc4830"/>
      <w:r>
        <w:rPr>
          <w:rFonts w:hint="eastAsia" w:ascii="仿宋_GB2312" w:hAnsi="仿宋_GB2312" w:eastAsia="仿宋_GB2312" w:cs="仿宋_GB2312"/>
          <w:color w:val="auto"/>
          <w:sz w:val="30"/>
          <w:szCs w:val="30"/>
          <w:highlight w:val="none"/>
        </w:rPr>
        <w:t>曾在</w:t>
      </w:r>
      <w:r>
        <w:rPr>
          <w:rFonts w:hint="eastAsia" w:ascii="仿宋_GB2312" w:hAnsi="仿宋_GB2312" w:eastAsia="仿宋_GB2312" w:cs="仿宋_GB2312"/>
          <w:color w:val="auto"/>
          <w:sz w:val="30"/>
          <w:szCs w:val="30"/>
          <w:highlight w:val="none"/>
          <w:lang w:eastAsia="zh-CN"/>
        </w:rPr>
        <w:t>招考</w:t>
      </w:r>
      <w:r>
        <w:rPr>
          <w:rFonts w:hint="eastAsia" w:ascii="仿宋_GB2312" w:hAnsi="仿宋_GB2312" w:eastAsia="仿宋_GB2312" w:cs="仿宋_GB2312"/>
          <w:color w:val="auto"/>
          <w:sz w:val="30"/>
          <w:szCs w:val="30"/>
          <w:highlight w:val="none"/>
        </w:rPr>
        <w:t>系统中注册登记的考生，本次报考前务必首先根据实际情况重新修改完善个人相关信息（截至报名日或报名截止日），如实反映各阶段的就学、就业、待业等状态，期间不能中断，原则上应从高中起填写。</w:t>
      </w:r>
      <w:bookmarkEnd w:id="16"/>
      <w:bookmarkEnd w:id="17"/>
      <w:r>
        <w:rPr>
          <w:rFonts w:hint="eastAsia" w:ascii="仿宋_GB2312" w:hAnsi="仿宋_GB2312" w:eastAsia="仿宋_GB2312" w:cs="仿宋_GB2312"/>
          <w:color w:val="auto"/>
          <w:sz w:val="30"/>
          <w:szCs w:val="30"/>
          <w:highlight w:val="none"/>
        </w:rPr>
        <w:t>报名提交审核后修改填写的个人信息，系统无法自动更新呈现。</w:t>
      </w:r>
      <w:r>
        <w:rPr>
          <w:rFonts w:hint="eastAsia" w:ascii="仿宋_GB2312" w:hAnsi="仿宋_GB2312" w:eastAsia="仿宋_GB2312" w:cs="仿宋_GB2312"/>
          <w:b/>
          <w:color w:val="auto"/>
          <w:sz w:val="30"/>
          <w:szCs w:val="30"/>
          <w:highlight w:val="none"/>
          <w:u w:val="single"/>
        </w:rPr>
        <w:t>为避免所报考岗位审核人员按原信息审核判定不符合，请务必在报名信息提交前完善并确认个人信息无误。</w:t>
      </w:r>
      <w:bookmarkEnd w:id="18"/>
      <w:bookmarkEnd w:id="19"/>
      <w:bookmarkEnd w:id="20"/>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在机关事业单位工作的，须注明单位性质（机关、参公单位、非参公事业单位）和本人身份（公务员、参公事业编制人员、非参公事业编制人员、编外人员）。</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部队、武警相关单位工作人员须注明“现役人员”还是“非现役文职人员”，或者“合同制职员”等。</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在读人员须注明教育类别是“全日制普教”还是“非全日制普教”。</w:t>
      </w:r>
    </w:p>
    <w:p>
      <w:pPr>
        <w:keepNext w:val="0"/>
        <w:keepLines w:val="0"/>
        <w:pageBreakBefore w:val="0"/>
        <w:kinsoku/>
        <w:wordWrap/>
        <w:overflowPunct/>
        <w:topLinePunct w:val="0"/>
        <w:autoSpaceDE/>
        <w:autoSpaceDN/>
        <w:bidi w:val="0"/>
        <w:spacing w:line="360" w:lineRule="auto"/>
        <w:ind w:firstLine="602" w:firstLineChars="200"/>
        <w:textAlignment w:val="auto"/>
        <w:outlineLvl w:val="1"/>
        <w:rPr>
          <w:rFonts w:hint="eastAsia" w:ascii="仿宋_GB2312" w:hAnsi="仿宋_GB2312" w:eastAsia="仿宋_GB2312" w:cs="仿宋_GB2312"/>
          <w:b/>
          <w:color w:val="auto"/>
          <w:sz w:val="30"/>
          <w:szCs w:val="30"/>
          <w:highlight w:val="none"/>
        </w:rPr>
      </w:pPr>
      <w:bookmarkStart w:id="21" w:name="_Toc29558"/>
      <w:bookmarkStart w:id="22" w:name="_Toc30108"/>
      <w:r>
        <w:rPr>
          <w:rFonts w:hint="eastAsia" w:ascii="仿宋_GB2312" w:hAnsi="仿宋_GB2312" w:eastAsia="仿宋_GB2312" w:cs="仿宋_GB2312"/>
          <w:b/>
          <w:color w:val="auto"/>
          <w:sz w:val="30"/>
          <w:szCs w:val="30"/>
          <w:highlight w:val="none"/>
        </w:rPr>
        <w:t>（</w:t>
      </w:r>
      <w:r>
        <w:rPr>
          <w:rFonts w:hint="eastAsia" w:ascii="仿宋_GB2312" w:hAnsi="仿宋_GB2312" w:eastAsia="仿宋_GB2312" w:cs="仿宋_GB2312"/>
          <w:b/>
          <w:color w:val="auto"/>
          <w:sz w:val="30"/>
          <w:szCs w:val="30"/>
          <w:highlight w:val="none"/>
          <w:lang w:val="en-US" w:eastAsia="zh-Hans"/>
        </w:rPr>
        <w:t>四</w:t>
      </w:r>
      <w:r>
        <w:rPr>
          <w:rFonts w:hint="eastAsia" w:ascii="仿宋_GB2312" w:hAnsi="仿宋_GB2312" w:eastAsia="仿宋_GB2312" w:cs="仿宋_GB2312"/>
          <w:b/>
          <w:color w:val="auto"/>
          <w:sz w:val="30"/>
          <w:szCs w:val="30"/>
          <w:highlight w:val="none"/>
        </w:rPr>
        <w:t>）</w:t>
      </w:r>
      <w:bookmarkEnd w:id="21"/>
      <w:bookmarkStart w:id="23" w:name="_Toc548"/>
      <w:r>
        <w:rPr>
          <w:rFonts w:hint="eastAsia" w:ascii="仿宋_GB2312" w:hAnsi="仿宋_GB2312" w:eastAsia="仿宋_GB2312" w:cs="仿宋_GB2312"/>
          <w:b/>
          <w:color w:val="auto"/>
          <w:sz w:val="30"/>
          <w:szCs w:val="30"/>
          <w:highlight w:val="none"/>
        </w:rPr>
        <w:t>回避情形</w:t>
      </w:r>
      <w:bookmarkEnd w:id="22"/>
      <w:bookmarkEnd w:id="23"/>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1.夫妻关系;</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2.直系血亲关系，包括祖父母、外祖父母、父母、子女、孙子女、外孙子女;</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3.三代以内旁系血亲关系，包括叔伯姑舅姨、兄弟姐妹、堂兄弟姐妹、表兄弟姐妹、侄子女、甥子女;</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4.近姻亲关系，包括配偶的父母、配偶的兄弟姐妹及其配偶、子女的配偶及子女配偶的父母、三代以内旁系血亲的配偶;</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5.其他亲属关系，包括养父母子女、形成抚养关系的继父母子女及由此形成的直系血亲、三代以内旁系血亲和近姻亲关系。</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所称直接上下级领导关系包括：</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1.领导班子正职与副职;</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2.同一内设机构正职与副职;</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3.上级正职、副职与下级正职;</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4.单位无内设机构的，其正职、副职与其他管理人员以及从事审计、财务工作的专业技术人员;</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5.内设机构无下一级单位的，其正职、副职与其他管理人员以及从事审计、财务工作的专业技术人员。</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从事招聘工作的人员存在应当回避情形的，须实行履职回避。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outlineLvl w:val="0"/>
        <w:rPr>
          <w:rFonts w:hint="eastAsia" w:ascii="黑体" w:hAnsi="黑体" w:eastAsia="黑体" w:cs="黑体"/>
          <w:b w:val="0"/>
          <w:bCs w:val="0"/>
          <w:color w:val="auto"/>
          <w:sz w:val="30"/>
          <w:szCs w:val="30"/>
          <w:highlight w:val="none"/>
        </w:rPr>
      </w:pPr>
      <w:bookmarkStart w:id="24" w:name="_Toc3728"/>
      <w:bookmarkStart w:id="25" w:name="_Toc32234"/>
      <w:r>
        <w:rPr>
          <w:rFonts w:hint="eastAsia" w:ascii="黑体" w:hAnsi="黑体" w:eastAsia="黑体" w:cs="黑体"/>
          <w:b w:val="0"/>
          <w:bCs w:val="0"/>
          <w:color w:val="auto"/>
          <w:sz w:val="30"/>
          <w:szCs w:val="30"/>
          <w:highlight w:val="none"/>
          <w:lang w:eastAsia="zh-CN"/>
        </w:rPr>
        <w:t>四、</w:t>
      </w:r>
      <w:r>
        <w:rPr>
          <w:rFonts w:hint="eastAsia" w:ascii="黑体" w:hAnsi="黑体" w:eastAsia="黑体" w:cs="黑体"/>
          <w:b w:val="0"/>
          <w:bCs w:val="0"/>
          <w:color w:val="auto"/>
          <w:sz w:val="30"/>
          <w:szCs w:val="30"/>
          <w:highlight w:val="none"/>
        </w:rPr>
        <w:t>年龄、资格（历）等的计算办法</w:t>
      </w:r>
      <w:bookmarkEnd w:id="24"/>
      <w:bookmarkEnd w:id="25"/>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如无特别说明，相关年限的计算、证书取得时间等，均指计算截至报名截</w:t>
      </w:r>
      <w:r>
        <w:rPr>
          <w:rFonts w:hint="eastAsia" w:ascii="仿宋_GB2312" w:hAnsi="仿宋_GB2312" w:eastAsia="仿宋_GB2312" w:cs="仿宋_GB2312"/>
          <w:b/>
          <w:bCs/>
          <w:color w:val="auto"/>
          <w:sz w:val="30"/>
          <w:szCs w:val="30"/>
          <w:highlight w:val="none"/>
        </w:rPr>
        <w:t>止</w:t>
      </w:r>
      <w:r>
        <w:rPr>
          <w:rFonts w:hint="eastAsia" w:ascii="仿宋_GB2312" w:hAnsi="仿宋_GB2312" w:eastAsia="仿宋_GB2312" w:cs="仿宋_GB2312"/>
          <w:b/>
          <w:bCs/>
          <w:color w:val="auto"/>
          <w:sz w:val="30"/>
          <w:szCs w:val="30"/>
          <w:highlight w:val="none"/>
          <w:lang w:eastAsia="zh-CN"/>
        </w:rPr>
        <w:t>当月，即</w:t>
      </w:r>
      <w:r>
        <w:rPr>
          <w:rFonts w:hint="eastAsia" w:ascii="仿宋_GB2312" w:hAnsi="仿宋_GB2312" w:eastAsia="仿宋_GB2312" w:cs="仿宋_GB2312"/>
          <w:b/>
          <w:bCs/>
          <w:color w:val="auto"/>
          <w:sz w:val="30"/>
          <w:szCs w:val="30"/>
          <w:highlight w:val="none"/>
          <w:lang w:val="en-US" w:eastAsia="zh-CN"/>
        </w:rPr>
        <w:t>2022年5月</w:t>
      </w:r>
      <w:r>
        <w:rPr>
          <w:rFonts w:hint="eastAsia" w:ascii="仿宋_GB2312" w:hAnsi="仿宋_GB2312" w:eastAsia="仿宋_GB2312" w:cs="仿宋_GB2312"/>
          <w:b/>
          <w:bCs/>
          <w:color w:val="auto"/>
          <w:sz w:val="30"/>
          <w:szCs w:val="30"/>
          <w:highlight w:val="none"/>
        </w:rPr>
        <w:t>。</w:t>
      </w:r>
    </w:p>
    <w:p>
      <w:pPr>
        <w:keepNext w:val="0"/>
        <w:keepLines w:val="0"/>
        <w:pageBreakBefore w:val="0"/>
        <w:numPr>
          <w:ilvl w:val="0"/>
          <w:numId w:val="2"/>
        </w:numPr>
        <w:kinsoku/>
        <w:wordWrap/>
        <w:overflowPunct/>
        <w:topLinePunct w:val="0"/>
        <w:autoSpaceDE/>
        <w:autoSpaceDN/>
        <w:bidi w:val="0"/>
        <w:spacing w:line="360" w:lineRule="auto"/>
        <w:ind w:firstLine="602" w:firstLineChars="200"/>
        <w:textAlignment w:val="auto"/>
        <w:outlineLvl w:val="1"/>
        <w:rPr>
          <w:rFonts w:hint="eastAsia" w:ascii="仿宋_GB2312" w:hAnsi="仿宋_GB2312" w:eastAsia="仿宋_GB2312" w:cs="仿宋_GB2312"/>
          <w:b/>
          <w:bCs/>
          <w:color w:val="auto"/>
          <w:sz w:val="30"/>
          <w:szCs w:val="30"/>
          <w:highlight w:val="none"/>
        </w:rPr>
      </w:pPr>
      <w:bookmarkStart w:id="26" w:name="_Toc14858"/>
      <w:r>
        <w:rPr>
          <w:rFonts w:hint="eastAsia" w:ascii="仿宋_GB2312" w:hAnsi="仿宋_GB2312" w:eastAsia="仿宋_GB2312" w:cs="仿宋_GB2312"/>
          <w:b/>
          <w:bCs/>
          <w:color w:val="auto"/>
          <w:sz w:val="30"/>
          <w:szCs w:val="30"/>
          <w:highlight w:val="none"/>
        </w:rPr>
        <w:t>年龄</w:t>
      </w:r>
      <w:bookmarkEnd w:id="26"/>
    </w:p>
    <w:p>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最高年龄要求35周岁是指18周岁以上、35周岁以下</w:t>
      </w:r>
      <w:r>
        <w:rPr>
          <w:rFonts w:hint="eastAsia" w:ascii="仿宋_GB2312" w:hAnsi="仿宋_GB2312" w:eastAsia="仿宋_GB2312" w:cs="仿宋_GB2312"/>
          <w:color w:val="auto"/>
          <w:sz w:val="30"/>
          <w:szCs w:val="30"/>
          <w:highlight w:val="none"/>
          <w:u w:val="none"/>
          <w:lang w:eastAsia="zh-CN"/>
        </w:rPr>
        <w:t>（</w:t>
      </w:r>
      <w:r>
        <w:rPr>
          <w:rFonts w:hint="eastAsia" w:ascii="仿宋_GB2312" w:hAnsi="仿宋_GB2312" w:eastAsia="仿宋_GB2312" w:cs="仿宋_GB2312"/>
          <w:b w:val="0"/>
          <w:bCs w:val="0"/>
          <w:color w:val="auto"/>
          <w:sz w:val="30"/>
          <w:szCs w:val="30"/>
          <w:highlight w:val="none"/>
          <w:u w:val="none"/>
          <w:lang w:val="en-US" w:eastAsia="zh-CN"/>
        </w:rPr>
        <w:t>在1986</w:t>
      </w:r>
      <w:r>
        <w:rPr>
          <w:rFonts w:hint="eastAsia" w:ascii="仿宋_GB2312" w:hAnsi="仿宋_GB2312" w:eastAsia="仿宋_GB2312" w:cs="仿宋_GB2312"/>
          <w:b w:val="0"/>
          <w:bCs w:val="0"/>
          <w:color w:val="auto"/>
          <w:sz w:val="30"/>
          <w:szCs w:val="30"/>
          <w:highlight w:val="none"/>
          <w:u w:val="none"/>
        </w:rPr>
        <w:t>年</w:t>
      </w:r>
      <w:r>
        <w:rPr>
          <w:rFonts w:hint="eastAsia" w:ascii="仿宋_GB2312" w:hAnsi="仿宋_GB2312" w:eastAsia="仿宋_GB2312" w:cs="仿宋_GB2312"/>
          <w:b w:val="0"/>
          <w:bCs w:val="0"/>
          <w:color w:val="auto"/>
          <w:sz w:val="30"/>
          <w:szCs w:val="30"/>
          <w:highlight w:val="none"/>
          <w:u w:val="none"/>
          <w:lang w:val="en-US" w:eastAsia="zh-CN"/>
        </w:rPr>
        <w:t>5</w:t>
      </w:r>
      <w:r>
        <w:rPr>
          <w:rFonts w:hint="eastAsia" w:ascii="仿宋_GB2312" w:hAnsi="仿宋_GB2312" w:eastAsia="仿宋_GB2312" w:cs="仿宋_GB2312"/>
          <w:b w:val="0"/>
          <w:bCs w:val="0"/>
          <w:color w:val="auto"/>
          <w:sz w:val="30"/>
          <w:szCs w:val="30"/>
          <w:highlight w:val="none"/>
          <w:u w:val="none"/>
        </w:rPr>
        <w:t>月</w:t>
      </w:r>
      <w:r>
        <w:rPr>
          <w:rFonts w:hint="eastAsia" w:ascii="仿宋_GB2312" w:hAnsi="仿宋_GB2312" w:eastAsia="仿宋_GB2312" w:cs="仿宋_GB2312"/>
          <w:b w:val="0"/>
          <w:bCs w:val="0"/>
          <w:color w:val="auto"/>
          <w:sz w:val="30"/>
          <w:szCs w:val="30"/>
          <w:highlight w:val="none"/>
          <w:u w:val="none"/>
          <w:lang w:eastAsia="zh-CN"/>
        </w:rPr>
        <w:t>至</w:t>
      </w:r>
      <w:r>
        <w:rPr>
          <w:rFonts w:hint="eastAsia" w:ascii="仿宋_GB2312" w:hAnsi="仿宋_GB2312" w:eastAsia="仿宋_GB2312" w:cs="仿宋_GB2312"/>
          <w:b w:val="0"/>
          <w:bCs w:val="0"/>
          <w:color w:val="auto"/>
          <w:sz w:val="30"/>
          <w:szCs w:val="30"/>
          <w:highlight w:val="none"/>
          <w:u w:val="none"/>
          <w:lang w:val="en-US" w:eastAsia="zh-CN"/>
        </w:rPr>
        <w:t>2004年5月期间</w:t>
      </w:r>
      <w:r>
        <w:rPr>
          <w:rFonts w:hint="eastAsia" w:ascii="仿宋_GB2312" w:hAnsi="仿宋_GB2312" w:eastAsia="仿宋_GB2312" w:cs="仿宋_GB2312"/>
          <w:b w:val="0"/>
          <w:bCs w:val="0"/>
          <w:color w:val="auto"/>
          <w:sz w:val="30"/>
          <w:szCs w:val="30"/>
          <w:highlight w:val="none"/>
          <w:u w:val="none"/>
        </w:rPr>
        <w:t>出生</w:t>
      </w:r>
      <w:r>
        <w:rPr>
          <w:rFonts w:hint="eastAsia" w:ascii="仿宋_GB2312" w:hAnsi="仿宋_GB2312" w:eastAsia="仿宋_GB2312" w:cs="仿宋_GB2312"/>
          <w:color w:val="auto"/>
          <w:sz w:val="30"/>
          <w:szCs w:val="30"/>
          <w:highlight w:val="none"/>
          <w:u w:val="none"/>
          <w:lang w:eastAsia="zh-CN"/>
        </w:rPr>
        <w:t>）</w:t>
      </w:r>
      <w:r>
        <w:rPr>
          <w:rFonts w:hint="eastAsia" w:ascii="仿宋_GB2312" w:hAnsi="仿宋_GB2312" w:eastAsia="仿宋_GB2312" w:cs="仿宋_GB2312"/>
          <w:color w:val="auto"/>
          <w:sz w:val="30"/>
          <w:szCs w:val="30"/>
          <w:highlight w:val="none"/>
          <w:u w:val="none"/>
        </w:rPr>
        <w:t>的人员。</w:t>
      </w:r>
    </w:p>
    <w:p>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u w:val="none"/>
          <w:lang w:eastAsia="zh-CN"/>
        </w:rPr>
        <w:t>其他年龄要求按此</w:t>
      </w:r>
      <w:r>
        <w:rPr>
          <w:rFonts w:hint="eastAsia" w:ascii="仿宋_GB2312" w:hAnsi="仿宋_GB2312" w:eastAsia="仿宋_GB2312" w:cs="仿宋_GB2312"/>
          <w:color w:val="auto"/>
          <w:sz w:val="30"/>
          <w:szCs w:val="30"/>
          <w:highlight w:val="none"/>
          <w:u w:val="none"/>
        </w:rPr>
        <w:t>类推。</w:t>
      </w:r>
    </w:p>
    <w:p>
      <w:pPr>
        <w:keepNext w:val="0"/>
        <w:keepLines w:val="0"/>
        <w:pageBreakBefore w:val="0"/>
        <w:numPr>
          <w:ilvl w:val="0"/>
          <w:numId w:val="2"/>
        </w:numPr>
        <w:kinsoku/>
        <w:wordWrap/>
        <w:overflowPunct/>
        <w:topLinePunct w:val="0"/>
        <w:autoSpaceDE/>
        <w:autoSpaceDN/>
        <w:bidi w:val="0"/>
        <w:spacing w:line="360" w:lineRule="auto"/>
        <w:ind w:firstLine="602" w:firstLineChars="200"/>
        <w:textAlignment w:val="auto"/>
        <w:outlineLvl w:val="1"/>
        <w:rPr>
          <w:rFonts w:hint="eastAsia" w:ascii="仿宋_GB2312" w:hAnsi="仿宋_GB2312" w:eastAsia="仿宋_GB2312" w:cs="仿宋_GB2312"/>
          <w:b/>
          <w:bCs/>
          <w:color w:val="auto"/>
          <w:sz w:val="30"/>
          <w:szCs w:val="30"/>
          <w:highlight w:val="none"/>
        </w:rPr>
      </w:pPr>
      <w:bookmarkStart w:id="27" w:name="_Toc27466"/>
      <w:r>
        <w:rPr>
          <w:rFonts w:hint="eastAsia" w:ascii="仿宋_GB2312" w:hAnsi="仿宋_GB2312" w:eastAsia="仿宋_GB2312" w:cs="仿宋_GB2312"/>
          <w:b/>
          <w:bCs/>
          <w:color w:val="auto"/>
          <w:sz w:val="30"/>
          <w:szCs w:val="30"/>
          <w:highlight w:val="none"/>
        </w:rPr>
        <w:t>资格（历）等</w:t>
      </w:r>
      <w:bookmarkEnd w:id="27"/>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岗位资格条件、《简章》和《报考</w:t>
      </w:r>
      <w:r>
        <w:rPr>
          <w:rFonts w:hint="eastAsia" w:ascii="仿宋_GB2312" w:hAnsi="仿宋_GB2312" w:eastAsia="仿宋_GB2312" w:cs="仿宋_GB2312"/>
          <w:color w:val="auto"/>
          <w:sz w:val="30"/>
          <w:szCs w:val="30"/>
          <w:highlight w:val="none"/>
          <w:lang w:eastAsia="zh-CN"/>
        </w:rPr>
        <w:t>须知</w:t>
      </w:r>
      <w:r>
        <w:rPr>
          <w:rFonts w:hint="eastAsia" w:ascii="仿宋_GB2312" w:hAnsi="仿宋_GB2312" w:eastAsia="仿宋_GB2312" w:cs="仿宋_GB2312"/>
          <w:color w:val="auto"/>
          <w:sz w:val="30"/>
          <w:szCs w:val="30"/>
          <w:highlight w:val="none"/>
        </w:rPr>
        <w:t>》要求具有××条件以上的，如无特别说明，均含本数。如：具有2年以上工作经历，指截至报名截止日具有2年或2年以上工作经历。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outlineLvl w:val="0"/>
        <w:rPr>
          <w:rFonts w:hint="eastAsia" w:ascii="黑体" w:hAnsi="黑体" w:eastAsia="黑体" w:cs="黑体"/>
          <w:b w:val="0"/>
          <w:bCs w:val="0"/>
          <w:color w:val="auto"/>
          <w:sz w:val="30"/>
          <w:szCs w:val="30"/>
          <w:highlight w:val="none"/>
        </w:rPr>
      </w:pPr>
      <w:bookmarkStart w:id="28" w:name="_Toc4568"/>
      <w:bookmarkStart w:id="29" w:name="_Toc14449"/>
      <w:r>
        <w:rPr>
          <w:rFonts w:hint="eastAsia" w:ascii="黑体" w:hAnsi="黑体" w:eastAsia="黑体" w:cs="黑体"/>
          <w:b w:val="0"/>
          <w:bCs w:val="0"/>
          <w:color w:val="auto"/>
          <w:sz w:val="30"/>
          <w:szCs w:val="30"/>
          <w:highlight w:val="none"/>
          <w:lang w:eastAsia="zh-CN"/>
        </w:rPr>
        <w:t>五、</w:t>
      </w:r>
      <w:r>
        <w:rPr>
          <w:rFonts w:hint="eastAsia" w:ascii="黑体" w:hAnsi="黑体" w:eastAsia="黑体" w:cs="黑体"/>
          <w:b w:val="0"/>
          <w:bCs w:val="0"/>
          <w:color w:val="auto"/>
          <w:sz w:val="30"/>
          <w:szCs w:val="30"/>
          <w:highlight w:val="none"/>
        </w:rPr>
        <w:t>学历（位）认定</w:t>
      </w:r>
      <w:bookmarkEnd w:id="28"/>
      <w:bookmarkEnd w:id="29"/>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岗位资格条件要求的学历(位)须是国家承认的国民教育毕业学历(位)。</w:t>
      </w:r>
    </w:p>
    <w:p>
      <w:pPr>
        <w:keepNext w:val="0"/>
        <w:keepLines w:val="0"/>
        <w:pageBreakBefore w:val="0"/>
        <w:numPr>
          <w:ilvl w:val="0"/>
          <w:numId w:val="0"/>
        </w:numPr>
        <w:kinsoku/>
        <w:wordWrap/>
        <w:overflowPunct/>
        <w:topLinePunct w:val="0"/>
        <w:autoSpaceDE/>
        <w:autoSpaceDN/>
        <w:bidi w:val="0"/>
        <w:spacing w:line="360" w:lineRule="auto"/>
        <w:ind w:left="420" w:leftChars="0"/>
        <w:textAlignment w:val="auto"/>
        <w:outlineLvl w:val="1"/>
        <w:rPr>
          <w:rFonts w:hint="eastAsia" w:ascii="仿宋_GB2312" w:hAnsi="仿宋_GB2312" w:eastAsia="仿宋_GB2312" w:cs="仿宋_GB2312"/>
          <w:b/>
          <w:color w:val="auto"/>
          <w:sz w:val="30"/>
          <w:szCs w:val="30"/>
          <w:highlight w:val="none"/>
        </w:rPr>
      </w:pPr>
      <w:bookmarkStart w:id="30" w:name="_Toc1085"/>
      <w:bookmarkStart w:id="31" w:name="_Toc31356"/>
      <w:r>
        <w:rPr>
          <w:rFonts w:hint="eastAsia" w:ascii="仿宋_GB2312" w:hAnsi="仿宋_GB2312" w:eastAsia="仿宋_GB2312" w:cs="仿宋_GB2312"/>
          <w:b/>
          <w:color w:val="auto"/>
          <w:sz w:val="30"/>
          <w:szCs w:val="30"/>
          <w:highlight w:val="none"/>
          <w:u w:val="none"/>
        </w:rPr>
        <w:t>（</w:t>
      </w:r>
      <w:r>
        <w:rPr>
          <w:rFonts w:hint="eastAsia" w:ascii="仿宋_GB2312" w:hAnsi="仿宋_GB2312" w:eastAsia="仿宋_GB2312" w:cs="仿宋_GB2312"/>
          <w:b/>
          <w:color w:val="auto"/>
          <w:sz w:val="30"/>
          <w:szCs w:val="30"/>
          <w:highlight w:val="none"/>
          <w:u w:val="none"/>
          <w:lang w:eastAsia="zh-CN"/>
        </w:rPr>
        <w:t>一</w:t>
      </w:r>
      <w:r>
        <w:rPr>
          <w:rFonts w:hint="eastAsia" w:ascii="仿宋_GB2312" w:hAnsi="仿宋_GB2312" w:eastAsia="仿宋_GB2312" w:cs="仿宋_GB2312"/>
          <w:b/>
          <w:color w:val="auto"/>
          <w:sz w:val="30"/>
          <w:szCs w:val="30"/>
          <w:highlight w:val="none"/>
          <w:u w:val="none"/>
        </w:rPr>
        <w:t>）</w:t>
      </w:r>
      <w:r>
        <w:rPr>
          <w:rFonts w:hint="eastAsia" w:ascii="仿宋_GB2312" w:hAnsi="仿宋_GB2312" w:eastAsia="仿宋_GB2312" w:cs="仿宋_GB2312"/>
          <w:b/>
          <w:color w:val="auto"/>
          <w:sz w:val="30"/>
          <w:szCs w:val="30"/>
          <w:highlight w:val="none"/>
        </w:rPr>
        <w:t>境内学历（位）</w:t>
      </w:r>
      <w:bookmarkEnd w:id="30"/>
      <w:bookmarkEnd w:id="31"/>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u w:val="none"/>
          <w:lang w:eastAsia="zh-CN"/>
        </w:rPr>
      </w:pPr>
      <w:r>
        <w:rPr>
          <w:rFonts w:hint="eastAsia" w:ascii="仿宋_GB2312" w:hAnsi="仿宋_GB2312" w:eastAsia="仿宋_GB2312" w:cs="仿宋_GB2312"/>
          <w:color w:val="auto"/>
          <w:sz w:val="30"/>
          <w:szCs w:val="30"/>
          <w:highlight w:val="none"/>
          <w:u w:val="none"/>
          <w:lang w:eastAsia="zh-CN"/>
        </w:rPr>
        <w:t>用于</w:t>
      </w:r>
      <w:r>
        <w:rPr>
          <w:rFonts w:hint="eastAsia" w:ascii="仿宋_GB2312" w:hAnsi="仿宋_GB2312" w:eastAsia="仿宋_GB2312" w:cs="仿宋_GB2312"/>
          <w:color w:val="auto"/>
          <w:sz w:val="30"/>
          <w:szCs w:val="30"/>
          <w:highlight w:val="none"/>
          <w:u w:val="none"/>
        </w:rPr>
        <w:t>报考的学历（含自学考试、成人教育、网络教育、夜大、电大等）应在中国高等教育学生信息网（简称“学信网”，http://www.chsi.com.cn/）上</w:t>
      </w:r>
      <w:r>
        <w:rPr>
          <w:rFonts w:hint="eastAsia" w:ascii="仿宋_GB2312" w:hAnsi="仿宋_GB2312" w:eastAsia="仿宋_GB2312" w:cs="仿宋_GB2312"/>
          <w:color w:val="auto"/>
          <w:sz w:val="30"/>
          <w:szCs w:val="30"/>
          <w:highlight w:val="none"/>
          <w:u w:val="none"/>
          <w:lang w:eastAsia="zh-CN"/>
        </w:rPr>
        <w:t>可</w:t>
      </w:r>
      <w:r>
        <w:rPr>
          <w:rFonts w:hint="eastAsia" w:ascii="仿宋_GB2312" w:hAnsi="仿宋_GB2312" w:eastAsia="仿宋_GB2312" w:cs="仿宋_GB2312"/>
          <w:color w:val="auto"/>
          <w:sz w:val="30"/>
          <w:szCs w:val="30"/>
          <w:highlight w:val="none"/>
          <w:u w:val="none"/>
        </w:rPr>
        <w:t>查询认证；</w:t>
      </w:r>
      <w:r>
        <w:rPr>
          <w:rFonts w:hint="eastAsia" w:ascii="仿宋_GB2312" w:hAnsi="仿宋_GB2312" w:eastAsia="仿宋_GB2312" w:cs="仿宋_GB2312"/>
          <w:color w:val="auto"/>
          <w:sz w:val="30"/>
          <w:szCs w:val="30"/>
          <w:highlight w:val="none"/>
          <w:u w:val="none"/>
          <w:lang w:eastAsia="zh-CN"/>
        </w:rPr>
        <w:t>符合报考专业要求的</w:t>
      </w:r>
      <w:r>
        <w:rPr>
          <w:rFonts w:hint="eastAsia" w:ascii="仿宋_GB2312" w:hAnsi="仿宋_GB2312" w:eastAsia="仿宋_GB2312" w:cs="仿宋_GB2312"/>
          <w:color w:val="auto"/>
          <w:sz w:val="30"/>
          <w:szCs w:val="30"/>
          <w:highlight w:val="none"/>
          <w:u w:val="none"/>
        </w:rPr>
        <w:t>学位，应在中国学位与研究生教育信息网（简称“学位网”，http://www.cdgdc.edu.cn/）上</w:t>
      </w:r>
      <w:r>
        <w:rPr>
          <w:rFonts w:hint="eastAsia" w:ascii="仿宋_GB2312" w:hAnsi="仿宋_GB2312" w:eastAsia="仿宋_GB2312" w:cs="仿宋_GB2312"/>
          <w:color w:val="auto"/>
          <w:sz w:val="30"/>
          <w:szCs w:val="30"/>
          <w:highlight w:val="none"/>
          <w:u w:val="none"/>
          <w:lang w:eastAsia="zh-CN"/>
        </w:rPr>
        <w:t>可</w:t>
      </w:r>
      <w:r>
        <w:rPr>
          <w:rFonts w:hint="eastAsia" w:ascii="仿宋_GB2312" w:hAnsi="仿宋_GB2312" w:eastAsia="仿宋_GB2312" w:cs="仿宋_GB2312"/>
          <w:color w:val="auto"/>
          <w:sz w:val="30"/>
          <w:szCs w:val="30"/>
          <w:highlight w:val="none"/>
          <w:u w:val="none"/>
        </w:rPr>
        <w:t>查询认证。</w:t>
      </w:r>
      <w:r>
        <w:rPr>
          <w:rFonts w:hint="eastAsia" w:ascii="仿宋_GB2312" w:hAnsi="仿宋_GB2312" w:eastAsia="仿宋_GB2312" w:cs="仿宋_GB2312"/>
          <w:color w:val="auto"/>
          <w:sz w:val="30"/>
          <w:szCs w:val="30"/>
          <w:highlight w:val="none"/>
          <w:u w:val="none"/>
          <w:lang w:val="en-US" w:eastAsia="zh-CN"/>
        </w:rPr>
        <w:t>以辅修专业报考的，应同时取得国家承认的列入国民教育序列学历毕业证书，并且辅修专业相应信息可在“学信网”和“学位网”上查询。</w:t>
      </w:r>
    </w:p>
    <w:p>
      <w:pPr>
        <w:keepNext w:val="0"/>
        <w:keepLines w:val="0"/>
        <w:pageBreakBefore w:val="0"/>
        <w:kinsoku/>
        <w:wordWrap/>
        <w:overflowPunct/>
        <w:topLinePunct w:val="0"/>
        <w:autoSpaceDE/>
        <w:autoSpaceDN/>
        <w:bidi w:val="0"/>
        <w:spacing w:line="360" w:lineRule="auto"/>
        <w:ind w:firstLine="602" w:firstLineChars="200"/>
        <w:textAlignment w:val="auto"/>
        <w:outlineLvl w:val="1"/>
        <w:rPr>
          <w:rFonts w:hint="eastAsia" w:ascii="仿宋_GB2312" w:hAnsi="仿宋_GB2312" w:eastAsia="仿宋_GB2312" w:cs="仿宋_GB2312"/>
          <w:b/>
          <w:color w:val="auto"/>
          <w:sz w:val="30"/>
          <w:szCs w:val="30"/>
          <w:highlight w:val="none"/>
          <w:u w:val="none"/>
        </w:rPr>
      </w:pPr>
      <w:bookmarkStart w:id="32" w:name="_Toc4937"/>
      <w:bookmarkStart w:id="33" w:name="_Toc5810"/>
      <w:bookmarkStart w:id="34" w:name="_Toc15417"/>
      <w:r>
        <w:rPr>
          <w:rFonts w:hint="eastAsia" w:ascii="仿宋_GB2312" w:hAnsi="仿宋_GB2312" w:eastAsia="仿宋_GB2312" w:cs="仿宋_GB2312"/>
          <w:b/>
          <w:color w:val="auto"/>
          <w:sz w:val="30"/>
          <w:szCs w:val="30"/>
          <w:highlight w:val="none"/>
          <w:u w:val="none"/>
        </w:rPr>
        <w:t>（二）</w:t>
      </w:r>
      <w:r>
        <w:rPr>
          <w:rFonts w:hint="eastAsia" w:ascii="仿宋_GB2312" w:hAnsi="仿宋_GB2312" w:eastAsia="仿宋_GB2312" w:cs="仿宋_GB2312"/>
          <w:b/>
          <w:color w:val="auto"/>
          <w:sz w:val="30"/>
          <w:szCs w:val="30"/>
          <w:highlight w:val="none"/>
          <w:u w:val="none"/>
          <w:lang w:eastAsia="zh-CN"/>
        </w:rPr>
        <w:t>国（境）外</w:t>
      </w:r>
      <w:r>
        <w:rPr>
          <w:rFonts w:hint="eastAsia" w:ascii="仿宋_GB2312" w:hAnsi="仿宋_GB2312" w:eastAsia="仿宋_GB2312" w:cs="仿宋_GB2312"/>
          <w:b/>
          <w:color w:val="auto"/>
          <w:sz w:val="30"/>
          <w:szCs w:val="30"/>
          <w:highlight w:val="none"/>
          <w:u w:val="none"/>
        </w:rPr>
        <w:t>学历</w:t>
      </w:r>
      <w:r>
        <w:rPr>
          <w:rFonts w:hint="eastAsia" w:ascii="仿宋_GB2312" w:hAnsi="仿宋_GB2312" w:eastAsia="仿宋_GB2312" w:cs="仿宋_GB2312"/>
          <w:b/>
          <w:color w:val="auto"/>
          <w:sz w:val="30"/>
          <w:szCs w:val="30"/>
          <w:highlight w:val="none"/>
          <w:u w:val="none"/>
          <w:lang w:eastAsia="zh-CN"/>
        </w:rPr>
        <w:t>（位）</w:t>
      </w:r>
      <w:bookmarkEnd w:id="32"/>
      <w:bookmarkEnd w:id="33"/>
      <w:bookmarkEnd w:id="34"/>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strike/>
          <w:dstrike w:val="0"/>
          <w:color w:val="auto"/>
          <w:sz w:val="30"/>
          <w:szCs w:val="30"/>
          <w:highlight w:val="none"/>
          <w:u w:val="none"/>
        </w:rPr>
      </w:pPr>
      <w:r>
        <w:rPr>
          <w:rFonts w:hint="eastAsia" w:ascii="仿宋_GB2312" w:hAnsi="仿宋_GB2312" w:eastAsia="仿宋_GB2312" w:cs="仿宋_GB2312"/>
          <w:color w:val="auto"/>
          <w:sz w:val="30"/>
          <w:szCs w:val="30"/>
          <w:highlight w:val="none"/>
          <w:u w:val="none"/>
        </w:rPr>
        <w:t>持</w:t>
      </w:r>
      <w:r>
        <w:rPr>
          <w:rFonts w:hint="eastAsia" w:ascii="仿宋_GB2312" w:hAnsi="仿宋_GB2312" w:eastAsia="仿宋_GB2312" w:cs="仿宋_GB2312"/>
          <w:color w:val="auto"/>
          <w:sz w:val="30"/>
          <w:szCs w:val="30"/>
          <w:highlight w:val="none"/>
          <w:u w:val="none"/>
          <w:lang w:eastAsia="zh-CN"/>
        </w:rPr>
        <w:t>国（境）外</w:t>
      </w:r>
      <w:r>
        <w:rPr>
          <w:rFonts w:hint="eastAsia" w:ascii="仿宋_GB2312" w:hAnsi="仿宋_GB2312" w:eastAsia="仿宋_GB2312" w:cs="仿宋_GB2312"/>
          <w:color w:val="auto"/>
          <w:sz w:val="30"/>
          <w:szCs w:val="30"/>
          <w:highlight w:val="none"/>
          <w:u w:val="none"/>
        </w:rPr>
        <w:t>学历（位）报考的，应提供教育部留学服务中心出具的《国外学历学位认证书》或《香港、澳门特别行政区学历学位认证书》</w:t>
      </w:r>
      <w:r>
        <w:rPr>
          <w:rFonts w:hint="eastAsia" w:ascii="仿宋_GB2312" w:hAnsi="仿宋_GB2312" w:eastAsia="仿宋_GB2312" w:cs="仿宋_GB2312"/>
          <w:color w:val="auto"/>
          <w:sz w:val="30"/>
          <w:szCs w:val="30"/>
          <w:highlight w:val="none"/>
          <w:u w:val="none"/>
          <w:lang w:eastAsia="zh-CN"/>
        </w:rPr>
        <w:t>等</w:t>
      </w:r>
      <w:r>
        <w:rPr>
          <w:rFonts w:hint="eastAsia" w:ascii="仿宋_GB2312" w:hAnsi="仿宋_GB2312" w:eastAsia="仿宋_GB2312" w:cs="仿宋_GB2312"/>
          <w:color w:val="auto"/>
          <w:sz w:val="30"/>
          <w:szCs w:val="30"/>
          <w:highlight w:val="none"/>
          <w:u w:val="none"/>
        </w:rPr>
        <w:t>有关证明材料。</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rPr>
        <w:t>属于国内院校与</w:t>
      </w:r>
      <w:r>
        <w:rPr>
          <w:rFonts w:hint="eastAsia" w:ascii="仿宋_GB2312" w:hAnsi="仿宋_GB2312" w:eastAsia="仿宋_GB2312" w:cs="仿宋_GB2312"/>
          <w:color w:val="auto"/>
          <w:sz w:val="30"/>
          <w:szCs w:val="30"/>
          <w:highlight w:val="none"/>
          <w:u w:val="none"/>
          <w:lang w:eastAsia="zh-CN"/>
        </w:rPr>
        <w:t>国（境）外</w:t>
      </w:r>
      <w:r>
        <w:rPr>
          <w:rFonts w:hint="eastAsia" w:ascii="仿宋_GB2312" w:hAnsi="仿宋_GB2312" w:eastAsia="仿宋_GB2312" w:cs="仿宋_GB2312"/>
          <w:color w:val="auto"/>
          <w:sz w:val="30"/>
          <w:szCs w:val="30"/>
          <w:highlight w:val="none"/>
          <w:u w:val="none"/>
        </w:rPr>
        <w:t>院校联合办学取得</w:t>
      </w:r>
      <w:r>
        <w:rPr>
          <w:rFonts w:hint="eastAsia" w:ascii="仿宋_GB2312" w:hAnsi="仿宋_GB2312" w:eastAsia="仿宋_GB2312" w:cs="仿宋_GB2312"/>
          <w:color w:val="auto"/>
          <w:sz w:val="30"/>
          <w:szCs w:val="30"/>
          <w:highlight w:val="none"/>
          <w:u w:val="none"/>
          <w:lang w:eastAsia="zh-CN"/>
        </w:rPr>
        <w:t>国（境）外</w:t>
      </w:r>
      <w:r>
        <w:rPr>
          <w:rFonts w:hint="eastAsia" w:ascii="仿宋_GB2312" w:hAnsi="仿宋_GB2312" w:eastAsia="仿宋_GB2312" w:cs="仿宋_GB2312"/>
          <w:color w:val="auto"/>
          <w:sz w:val="30"/>
          <w:szCs w:val="30"/>
          <w:highlight w:val="none"/>
          <w:u w:val="none"/>
        </w:rPr>
        <w:t>学历学位的，需提供教育部留学服务中心出具的《联合办学学历学位评估意见书》或《联合办学学历学位认证书》。</w:t>
      </w:r>
    </w:p>
    <w:p>
      <w:pPr>
        <w:keepNext w:val="0"/>
        <w:keepLines w:val="0"/>
        <w:pageBreakBefore w:val="0"/>
        <w:kinsoku/>
        <w:wordWrap/>
        <w:overflowPunct/>
        <w:topLinePunct w:val="0"/>
        <w:autoSpaceDE/>
        <w:autoSpaceDN/>
        <w:bidi w:val="0"/>
        <w:spacing w:line="360" w:lineRule="auto"/>
        <w:ind w:firstLine="602" w:firstLineChars="200"/>
        <w:textAlignment w:val="auto"/>
        <w:outlineLvl w:val="1"/>
        <w:rPr>
          <w:rFonts w:hint="eastAsia" w:ascii="仿宋_GB2312" w:hAnsi="仿宋_GB2312" w:eastAsia="仿宋_GB2312" w:cs="仿宋_GB2312"/>
          <w:b/>
          <w:color w:val="auto"/>
          <w:sz w:val="30"/>
          <w:szCs w:val="30"/>
          <w:highlight w:val="none"/>
        </w:rPr>
      </w:pPr>
      <w:bookmarkStart w:id="35" w:name="_Toc22980"/>
      <w:r>
        <w:rPr>
          <w:rFonts w:hint="eastAsia" w:ascii="仿宋_GB2312" w:hAnsi="仿宋_GB2312" w:eastAsia="仿宋_GB2312" w:cs="仿宋_GB2312"/>
          <w:b/>
          <w:color w:val="auto"/>
          <w:sz w:val="30"/>
          <w:szCs w:val="30"/>
          <w:highlight w:val="none"/>
          <w:u w:val="none"/>
        </w:rPr>
        <w:t>（</w:t>
      </w:r>
      <w:r>
        <w:rPr>
          <w:rFonts w:hint="eastAsia" w:ascii="仿宋_GB2312" w:hAnsi="仿宋_GB2312" w:eastAsia="仿宋_GB2312" w:cs="仿宋_GB2312"/>
          <w:b/>
          <w:color w:val="auto"/>
          <w:sz w:val="30"/>
          <w:szCs w:val="30"/>
          <w:highlight w:val="none"/>
          <w:u w:val="none"/>
          <w:lang w:eastAsia="zh-CN"/>
        </w:rPr>
        <w:t>三</w:t>
      </w:r>
      <w:r>
        <w:rPr>
          <w:rFonts w:hint="eastAsia" w:ascii="仿宋_GB2312" w:hAnsi="仿宋_GB2312" w:eastAsia="仿宋_GB2312" w:cs="仿宋_GB2312"/>
          <w:b/>
          <w:color w:val="auto"/>
          <w:sz w:val="30"/>
          <w:szCs w:val="30"/>
          <w:highlight w:val="none"/>
          <w:u w:val="none"/>
        </w:rPr>
        <w:t>）</w:t>
      </w:r>
      <w:r>
        <w:rPr>
          <w:rFonts w:hint="eastAsia" w:ascii="仿宋_GB2312" w:hAnsi="仿宋_GB2312" w:eastAsia="仿宋_GB2312" w:cs="仿宋_GB2312"/>
          <w:b/>
          <w:color w:val="auto"/>
          <w:sz w:val="30"/>
          <w:szCs w:val="30"/>
          <w:highlight w:val="none"/>
        </w:rPr>
        <w:t>我省“双学位”“双专业”学历</w:t>
      </w:r>
      <w:bookmarkEnd w:id="35"/>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根据《关于在全省高校毕业生中试行“双学位”“双专业”教育的意见》（闽教高〔2009〕9号），经修读达到毕业条件并获得“双学位”“双专业”证书的报考者，在本省范围内承认其学历、学位。</w:t>
      </w:r>
    </w:p>
    <w:p>
      <w:pPr>
        <w:keepNext w:val="0"/>
        <w:keepLines w:val="0"/>
        <w:pageBreakBefore w:val="0"/>
        <w:kinsoku/>
        <w:wordWrap/>
        <w:overflowPunct/>
        <w:topLinePunct w:val="0"/>
        <w:autoSpaceDE/>
        <w:autoSpaceDN/>
        <w:bidi w:val="0"/>
        <w:spacing w:line="360" w:lineRule="auto"/>
        <w:ind w:firstLine="602" w:firstLineChars="200"/>
        <w:textAlignment w:val="auto"/>
        <w:outlineLvl w:val="1"/>
        <w:rPr>
          <w:rFonts w:hint="eastAsia" w:ascii="仿宋_GB2312" w:hAnsi="仿宋_GB2312" w:eastAsia="仿宋_GB2312" w:cs="仿宋_GB2312"/>
          <w:b/>
          <w:color w:val="auto"/>
          <w:sz w:val="30"/>
          <w:szCs w:val="30"/>
          <w:highlight w:val="none"/>
        </w:rPr>
      </w:pPr>
      <w:bookmarkStart w:id="36" w:name="_Toc2718"/>
      <w:r>
        <w:rPr>
          <w:rFonts w:hint="eastAsia" w:ascii="仿宋_GB2312" w:hAnsi="仿宋_GB2312" w:eastAsia="仿宋_GB2312" w:cs="仿宋_GB2312"/>
          <w:b/>
          <w:color w:val="auto"/>
          <w:sz w:val="30"/>
          <w:szCs w:val="30"/>
          <w:highlight w:val="none"/>
          <w:u w:val="none"/>
        </w:rPr>
        <w:t>（</w:t>
      </w:r>
      <w:r>
        <w:rPr>
          <w:rFonts w:hint="eastAsia" w:ascii="仿宋_GB2312" w:hAnsi="仿宋_GB2312" w:eastAsia="仿宋_GB2312" w:cs="仿宋_GB2312"/>
          <w:b/>
          <w:color w:val="auto"/>
          <w:sz w:val="30"/>
          <w:szCs w:val="30"/>
          <w:highlight w:val="none"/>
          <w:u w:val="none"/>
          <w:lang w:eastAsia="zh-CN"/>
        </w:rPr>
        <w:t>四</w:t>
      </w:r>
      <w:r>
        <w:rPr>
          <w:rFonts w:hint="eastAsia" w:ascii="仿宋_GB2312" w:hAnsi="仿宋_GB2312" w:eastAsia="仿宋_GB2312" w:cs="仿宋_GB2312"/>
          <w:b/>
          <w:color w:val="auto"/>
          <w:sz w:val="30"/>
          <w:szCs w:val="30"/>
          <w:highlight w:val="none"/>
          <w:u w:val="none"/>
        </w:rPr>
        <w:t>）</w:t>
      </w:r>
      <w:r>
        <w:rPr>
          <w:rFonts w:hint="eastAsia" w:ascii="仿宋_GB2312" w:hAnsi="仿宋_GB2312" w:eastAsia="仿宋_GB2312" w:cs="仿宋_GB2312"/>
          <w:b/>
          <w:color w:val="auto"/>
          <w:sz w:val="30"/>
          <w:szCs w:val="30"/>
          <w:highlight w:val="none"/>
        </w:rPr>
        <w:t>提醒事项</w:t>
      </w:r>
      <w:bookmarkEnd w:id="36"/>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firstLine="600" w:firstLineChars="200"/>
        <w:jc w:val="both"/>
        <w:textAlignment w:val="auto"/>
        <w:outlineLvl w:val="9"/>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1.</w:t>
      </w:r>
      <w:r>
        <w:rPr>
          <w:rFonts w:hint="eastAsia" w:ascii="仿宋_GB2312" w:hAnsi="仿宋_GB2312" w:eastAsia="仿宋_GB2312" w:cs="仿宋_GB2312"/>
          <w:color w:val="auto"/>
          <w:sz w:val="30"/>
          <w:szCs w:val="30"/>
          <w:highlight w:val="none"/>
        </w:rPr>
        <w:t>面试资格复核时，招聘单位将对学历（位）进行核查，请考生按照上述要求，提前做好相应认证报告或网上查验准备。</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firstLine="600" w:firstLineChars="200"/>
        <w:jc w:val="both"/>
        <w:textAlignment w:val="auto"/>
        <w:outlineLvl w:val="9"/>
        <w:rPr>
          <w:rFonts w:hint="eastAsia" w:ascii="仿宋_GB2312" w:hAnsi="仿宋_GB2312" w:eastAsia="仿宋_GB2312" w:cs="仿宋_GB2312"/>
          <w:strike w:val="0"/>
          <w:dstrike w:val="0"/>
          <w:color w:val="auto"/>
          <w:sz w:val="30"/>
          <w:szCs w:val="30"/>
          <w:highlight w:val="none"/>
          <w:u w:val="none"/>
          <w:lang w:eastAsia="zh-CN"/>
        </w:rPr>
      </w:pPr>
      <w:r>
        <w:rPr>
          <w:rFonts w:hint="eastAsia" w:ascii="仿宋_GB2312" w:hAnsi="仿宋_GB2312" w:eastAsia="仿宋_GB2312" w:cs="仿宋_GB2312"/>
          <w:color w:val="auto"/>
          <w:sz w:val="30"/>
          <w:szCs w:val="30"/>
          <w:highlight w:val="none"/>
          <w:u w:val="none"/>
          <w:lang w:val="en-US" w:eastAsia="zh-CN"/>
        </w:rPr>
        <w:t>2.2022</w:t>
      </w:r>
      <w:r>
        <w:rPr>
          <w:rFonts w:hint="eastAsia" w:ascii="仿宋_GB2312" w:hAnsi="仿宋_GB2312" w:eastAsia="仿宋_GB2312" w:cs="仿宋_GB2312"/>
          <w:color w:val="auto"/>
          <w:sz w:val="30"/>
          <w:szCs w:val="30"/>
          <w:highlight w:val="none"/>
          <w:u w:val="none"/>
        </w:rPr>
        <w:t>届毕业生</w:t>
      </w:r>
      <w:r>
        <w:rPr>
          <w:rFonts w:hint="eastAsia" w:ascii="仿宋_GB2312" w:hAnsi="仿宋_GB2312" w:eastAsia="仿宋_GB2312" w:cs="仿宋_GB2312"/>
          <w:color w:val="auto"/>
          <w:sz w:val="30"/>
          <w:szCs w:val="30"/>
          <w:highlight w:val="none"/>
          <w:u w:val="none"/>
          <w:lang w:eastAsia="zh-CN"/>
        </w:rPr>
        <w:t>和</w:t>
      </w:r>
      <w:r>
        <w:rPr>
          <w:rFonts w:hint="eastAsia" w:ascii="仿宋_GB2312" w:hAnsi="仿宋_GB2312" w:eastAsia="仿宋_GB2312" w:cs="仿宋_GB2312"/>
          <w:strike w:val="0"/>
          <w:dstrike w:val="0"/>
          <w:color w:val="auto"/>
          <w:sz w:val="30"/>
          <w:szCs w:val="30"/>
          <w:highlight w:val="none"/>
          <w:u w:val="none"/>
          <w:lang w:eastAsia="zh-CN"/>
        </w:rPr>
        <w:t>持国（境）外学历（位）者在岗位资格复核时需提交或书面承诺于202</w:t>
      </w:r>
      <w:r>
        <w:rPr>
          <w:rFonts w:hint="eastAsia" w:ascii="仿宋_GB2312" w:hAnsi="仿宋_GB2312" w:eastAsia="仿宋_GB2312" w:cs="仿宋_GB2312"/>
          <w:strike w:val="0"/>
          <w:dstrike w:val="0"/>
          <w:color w:val="auto"/>
          <w:sz w:val="30"/>
          <w:szCs w:val="30"/>
          <w:highlight w:val="none"/>
          <w:u w:val="none"/>
          <w:lang w:val="en-US" w:eastAsia="zh-CN"/>
        </w:rPr>
        <w:t>2</w:t>
      </w:r>
      <w:r>
        <w:rPr>
          <w:rFonts w:hint="eastAsia" w:ascii="仿宋_GB2312" w:hAnsi="仿宋_GB2312" w:eastAsia="仿宋_GB2312" w:cs="仿宋_GB2312"/>
          <w:strike w:val="0"/>
          <w:dstrike w:val="0"/>
          <w:color w:val="auto"/>
          <w:sz w:val="30"/>
          <w:szCs w:val="30"/>
          <w:highlight w:val="none"/>
          <w:u w:val="none"/>
          <w:lang w:eastAsia="zh-CN"/>
        </w:rPr>
        <w:t>年12月31日前取得并能提供符合岗位报考条件的相应学历(位)证书及其认证材料，否则视为自动放弃考试（聘用）资格。</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firstLine="600" w:firstLineChars="200"/>
        <w:jc w:val="both"/>
        <w:textAlignment w:val="auto"/>
        <w:outlineLvl w:val="9"/>
        <w:rPr>
          <w:rFonts w:hint="eastAsia"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3.以非全日制普通教育学历报考的考生，“医”类岗位须取得与岗位相符的执业助理医师及以上医师资格或相关主管部门出具的成绩单及是否通过考试的结论，“药、护、技”三类岗位须取得与岗位相符的卫生专业技术初级及以上职务任职资格证书或相关主管部门出具的成绩单及是否通过考试的结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outlineLvl w:val="0"/>
        <w:rPr>
          <w:rFonts w:hint="eastAsia" w:ascii="黑体" w:hAnsi="黑体" w:eastAsia="黑体" w:cs="黑体"/>
          <w:b w:val="0"/>
          <w:bCs w:val="0"/>
          <w:color w:val="auto"/>
          <w:sz w:val="30"/>
          <w:szCs w:val="30"/>
          <w:highlight w:val="none"/>
        </w:rPr>
      </w:pPr>
      <w:bookmarkStart w:id="37" w:name="_Toc1626"/>
      <w:bookmarkStart w:id="38" w:name="_Toc1501"/>
      <w:r>
        <w:rPr>
          <w:rFonts w:hint="eastAsia" w:ascii="黑体" w:hAnsi="黑体" w:eastAsia="黑体" w:cs="黑体"/>
          <w:b w:val="0"/>
          <w:bCs w:val="0"/>
          <w:color w:val="auto"/>
          <w:sz w:val="30"/>
          <w:szCs w:val="30"/>
          <w:highlight w:val="none"/>
          <w:lang w:eastAsia="zh-CN"/>
        </w:rPr>
        <w:t>六、</w:t>
      </w:r>
      <w:r>
        <w:rPr>
          <w:rFonts w:hint="eastAsia" w:ascii="黑体" w:hAnsi="黑体" w:eastAsia="黑体" w:cs="黑体"/>
          <w:b w:val="0"/>
          <w:bCs w:val="0"/>
          <w:color w:val="auto"/>
          <w:sz w:val="30"/>
          <w:szCs w:val="30"/>
          <w:highlight w:val="none"/>
        </w:rPr>
        <w:t>专业</w:t>
      </w:r>
      <w:bookmarkEnd w:id="37"/>
      <w:bookmarkEnd w:id="38"/>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bdr w:val="single" w:color="auto" w:sz="4" w:space="0"/>
        </w:rPr>
      </w:pPr>
      <w:r>
        <w:rPr>
          <w:rFonts w:hint="eastAsia" w:ascii="仿宋_GB2312" w:hAnsi="仿宋_GB2312" w:eastAsia="仿宋_GB2312" w:cs="仿宋_GB2312"/>
          <w:color w:val="auto"/>
          <w:sz w:val="30"/>
          <w:szCs w:val="30"/>
          <w:highlight w:val="none"/>
        </w:rPr>
        <w:t>本次招考以《福建省机关事业单位招考专业指导目录（</w:t>
      </w:r>
      <w:r>
        <w:rPr>
          <w:rFonts w:hint="eastAsia" w:ascii="仿宋_GB2312" w:hAnsi="仿宋_GB2312" w:eastAsia="仿宋_GB2312" w:cs="仿宋_GB2312"/>
          <w:color w:val="auto"/>
          <w:sz w:val="30"/>
          <w:szCs w:val="30"/>
          <w:highlight w:val="none"/>
          <w:lang w:val="en-US" w:eastAsia="zh-CN"/>
        </w:rPr>
        <w:t>2022</w:t>
      </w:r>
      <w:r>
        <w:rPr>
          <w:rFonts w:hint="eastAsia" w:ascii="仿宋_GB2312" w:hAnsi="仿宋_GB2312" w:eastAsia="仿宋_GB2312" w:cs="仿宋_GB2312"/>
          <w:color w:val="auto"/>
          <w:sz w:val="30"/>
          <w:szCs w:val="30"/>
          <w:highlight w:val="none"/>
        </w:rPr>
        <w:t>年）》（文中简称《专业指导目录》）作为岗位专业条件设置和审核的依据。其他来源的专业指导目录不作为本次报考和审核的依据。</w:t>
      </w:r>
    </w:p>
    <w:p>
      <w:pPr>
        <w:keepNext w:val="0"/>
        <w:keepLines w:val="0"/>
        <w:pageBreakBefore w:val="0"/>
        <w:kinsoku/>
        <w:wordWrap/>
        <w:overflowPunct/>
        <w:topLinePunct w:val="0"/>
        <w:autoSpaceDE/>
        <w:autoSpaceDN/>
        <w:bidi w:val="0"/>
        <w:spacing w:line="360" w:lineRule="auto"/>
        <w:ind w:firstLine="602" w:firstLineChars="200"/>
        <w:textAlignment w:val="auto"/>
        <w:outlineLvl w:val="1"/>
        <w:rPr>
          <w:rFonts w:hint="eastAsia" w:ascii="仿宋_GB2312" w:hAnsi="仿宋_GB2312" w:eastAsia="仿宋_GB2312" w:cs="仿宋_GB2312"/>
          <w:b/>
          <w:color w:val="auto"/>
          <w:sz w:val="30"/>
          <w:szCs w:val="30"/>
          <w:highlight w:val="none"/>
        </w:rPr>
      </w:pPr>
      <w:bookmarkStart w:id="39" w:name="_Toc22205"/>
      <w:bookmarkStart w:id="40" w:name="_Toc23150"/>
      <w:r>
        <w:rPr>
          <w:rFonts w:hint="eastAsia" w:ascii="仿宋_GB2312" w:hAnsi="仿宋_GB2312" w:eastAsia="仿宋_GB2312" w:cs="仿宋_GB2312"/>
          <w:b/>
          <w:color w:val="auto"/>
          <w:sz w:val="30"/>
          <w:szCs w:val="30"/>
          <w:highlight w:val="none"/>
        </w:rPr>
        <w:t>（一）填报专业名称</w:t>
      </w:r>
      <w:bookmarkEnd w:id="39"/>
      <w:bookmarkEnd w:id="40"/>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bdr w:val="single" w:color="auto" w:sz="4" w:space="0"/>
        </w:rPr>
      </w:pPr>
      <w:r>
        <w:rPr>
          <w:rFonts w:hint="eastAsia" w:ascii="仿宋_GB2312" w:hAnsi="仿宋_GB2312" w:eastAsia="仿宋_GB2312" w:cs="仿宋_GB2312"/>
          <w:color w:val="auto"/>
          <w:sz w:val="30"/>
          <w:szCs w:val="30"/>
          <w:highlight w:val="none"/>
        </w:rPr>
        <w:t>报考者应严格按照所持证书（认证报告）上内容</w:t>
      </w:r>
      <w:r>
        <w:rPr>
          <w:rFonts w:hint="eastAsia" w:ascii="仿宋_GB2312" w:hAnsi="仿宋_GB2312" w:eastAsia="仿宋_GB2312" w:cs="仿宋_GB2312"/>
          <w:b/>
          <w:color w:val="auto"/>
          <w:sz w:val="30"/>
          <w:szCs w:val="30"/>
          <w:highlight w:val="none"/>
          <w:u w:val="single"/>
        </w:rPr>
        <w:t>只字不差</w:t>
      </w:r>
      <w:r>
        <w:rPr>
          <w:rFonts w:hint="eastAsia" w:ascii="仿宋_GB2312" w:hAnsi="仿宋_GB2312" w:eastAsia="仿宋_GB2312" w:cs="仿宋_GB2312"/>
          <w:color w:val="auto"/>
          <w:sz w:val="30"/>
          <w:szCs w:val="30"/>
          <w:highlight w:val="none"/>
        </w:rPr>
        <w:t>、如实填写所学专业。其中，全日制普通教育学历所学专业以毕业证书为准，非全日制普通教育和境外学历（位）以教育部学历（位）认证部门出具的认证报告为准。</w:t>
      </w:r>
    </w:p>
    <w:p>
      <w:pPr>
        <w:keepNext w:val="0"/>
        <w:keepLines w:val="0"/>
        <w:pageBreakBefore w:val="0"/>
        <w:kinsoku/>
        <w:wordWrap/>
        <w:overflowPunct/>
        <w:topLinePunct w:val="0"/>
        <w:autoSpaceDE/>
        <w:autoSpaceDN/>
        <w:bidi w:val="0"/>
        <w:spacing w:line="360" w:lineRule="auto"/>
        <w:ind w:firstLine="602" w:firstLineChars="200"/>
        <w:textAlignment w:val="auto"/>
        <w:outlineLvl w:val="1"/>
        <w:rPr>
          <w:rFonts w:hint="eastAsia" w:ascii="仿宋_GB2312" w:hAnsi="仿宋_GB2312" w:eastAsia="仿宋_GB2312" w:cs="仿宋_GB2312"/>
          <w:b/>
          <w:color w:val="auto"/>
          <w:sz w:val="30"/>
          <w:szCs w:val="30"/>
          <w:highlight w:val="none"/>
        </w:rPr>
      </w:pPr>
      <w:bookmarkStart w:id="41" w:name="_Toc3969"/>
      <w:bookmarkStart w:id="42" w:name="_Toc30064"/>
      <w:r>
        <w:rPr>
          <w:rFonts w:hint="eastAsia" w:ascii="仿宋_GB2312" w:hAnsi="仿宋_GB2312" w:eastAsia="仿宋_GB2312" w:cs="仿宋_GB2312"/>
          <w:b/>
          <w:color w:val="auto"/>
          <w:sz w:val="30"/>
          <w:szCs w:val="30"/>
          <w:highlight w:val="none"/>
        </w:rPr>
        <w:t>（二）专业与学历（位）的对应关系</w:t>
      </w:r>
      <w:bookmarkEnd w:id="41"/>
      <w:bookmarkEnd w:id="42"/>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岗位所需专业与报考者的毕业证书专业应当一致，</w:t>
      </w:r>
      <w:r>
        <w:rPr>
          <w:rFonts w:hint="eastAsia" w:ascii="仿宋_GB2312" w:hAnsi="仿宋_GB2312" w:eastAsia="仿宋_GB2312" w:cs="仿宋_GB2312"/>
          <w:color w:val="auto"/>
          <w:sz w:val="30"/>
          <w:szCs w:val="30"/>
          <w:highlight w:val="none"/>
        </w:rPr>
        <w:t>岗位资格条件要求的学历(位)</w:t>
      </w:r>
      <w:r>
        <w:rPr>
          <w:rFonts w:hint="eastAsia" w:ascii="仿宋_GB2312" w:hAnsi="仿宋_GB2312" w:eastAsia="仿宋_GB2312" w:cs="仿宋_GB2312"/>
          <w:color w:val="auto"/>
          <w:sz w:val="30"/>
          <w:szCs w:val="30"/>
          <w:highlight w:val="none"/>
          <w:lang w:eastAsia="zh-CN"/>
        </w:rPr>
        <w:t>原则上</w:t>
      </w:r>
      <w:r>
        <w:rPr>
          <w:rFonts w:hint="eastAsia" w:ascii="仿宋_GB2312" w:hAnsi="仿宋_GB2312" w:eastAsia="仿宋_GB2312" w:cs="仿宋_GB2312"/>
          <w:color w:val="auto"/>
          <w:sz w:val="30"/>
          <w:szCs w:val="30"/>
          <w:highlight w:val="none"/>
        </w:rPr>
        <w:t>须为岗位所要求的专业对应的学历(位)及以上学历(位)</w:t>
      </w:r>
      <w:r>
        <w:rPr>
          <w:rFonts w:hint="eastAsia" w:ascii="仿宋_GB2312" w:hAnsi="仿宋_GB2312" w:eastAsia="仿宋_GB2312" w:cs="仿宋_GB2312"/>
          <w:color w:val="auto"/>
          <w:sz w:val="30"/>
          <w:szCs w:val="30"/>
          <w:highlight w:val="none"/>
          <w:lang w:eastAsia="zh-CN"/>
        </w:rPr>
        <w:t>，但</w:t>
      </w:r>
      <w:r>
        <w:rPr>
          <w:rFonts w:hint="eastAsia" w:ascii="仿宋_GB2312" w:hAnsi="仿宋_GB2312" w:eastAsia="仿宋_GB2312" w:cs="仿宋_GB2312"/>
          <w:color w:val="auto"/>
          <w:sz w:val="30"/>
          <w:szCs w:val="30"/>
          <w:highlight w:val="none"/>
        </w:rPr>
        <w:t>报考者如果已符合岗位资格条件中最低学历(位)要求而持有岗位专业要求的同级或更高级学历或学位的，也可报考。</w:t>
      </w:r>
      <w:r>
        <w:rPr>
          <w:rFonts w:hint="eastAsia" w:ascii="仿宋_GB2312" w:hAnsi="仿宋_GB2312" w:eastAsia="仿宋_GB2312" w:cs="仿宋_GB2312"/>
          <w:color w:val="auto"/>
          <w:sz w:val="30"/>
          <w:szCs w:val="30"/>
          <w:highlight w:val="none"/>
          <w:lang w:val="en-US" w:eastAsia="zh-CN"/>
        </w:rPr>
        <w:t xml:space="preserve"> </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rPr>
        <w:t>例如，岗位要求本科学历、学士学位、工商管理专业。</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rPr>
        <w:t>考生A：取得英语专业本科学历、学士学位，后读取工商管理专业硕士学位（单证，无学历），该考生可报考该岗位。</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rPr>
        <w:t>考生B：取得英语专业本科学历、学士学位，后攻读工商管理专业硕士研究生（仅取得研究生学历未获硕士学位），该考生可报考该岗位。</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rPr>
        <w:t>考生C：取得英语专业本科学历、学士学位，辅修工商管理专业取得学士学位，该考生可报考该岗位。</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rPr>
        <w:t>考生D：取得英语专业本科学历、学士学位，函授工商管理专业取得本科学历，该考生可报考该岗位。</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rPr>
        <w:t>考生E：取得工商管理专业大专</w:t>
      </w:r>
      <w:r>
        <w:rPr>
          <w:rFonts w:hint="eastAsia" w:ascii="仿宋_GB2312" w:hAnsi="仿宋_GB2312" w:eastAsia="仿宋_GB2312" w:cs="仿宋_GB2312"/>
          <w:color w:val="auto"/>
          <w:sz w:val="30"/>
          <w:szCs w:val="30"/>
          <w:highlight w:val="none"/>
          <w:u w:val="none"/>
          <w:lang w:eastAsia="zh-CN"/>
        </w:rPr>
        <w:t>学历</w:t>
      </w:r>
      <w:r>
        <w:rPr>
          <w:rFonts w:hint="eastAsia" w:ascii="仿宋_GB2312" w:hAnsi="仿宋_GB2312" w:eastAsia="仿宋_GB2312" w:cs="仿宋_GB2312"/>
          <w:color w:val="auto"/>
          <w:sz w:val="30"/>
          <w:szCs w:val="30"/>
          <w:highlight w:val="none"/>
          <w:u w:val="none"/>
        </w:rPr>
        <w:t>，专升本取得英语专业本科学历、学士学位，该考生不能报考该岗位。</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eastAsia="zh-CN"/>
        </w:rPr>
        <w:t>考生</w:t>
      </w:r>
      <w:r>
        <w:rPr>
          <w:rFonts w:hint="eastAsia" w:ascii="仿宋_GB2312" w:hAnsi="仿宋_GB2312" w:eastAsia="仿宋_GB2312" w:cs="仿宋_GB2312"/>
          <w:color w:val="auto"/>
          <w:sz w:val="30"/>
          <w:szCs w:val="30"/>
          <w:highlight w:val="none"/>
          <w:u w:val="none"/>
          <w:lang w:val="en-US" w:eastAsia="zh-CN"/>
        </w:rPr>
        <w:t>F：取得英语专业本科学历（未取得学士学位），取得工商管理专业硕士学位（无学历），</w:t>
      </w:r>
      <w:r>
        <w:rPr>
          <w:rFonts w:hint="eastAsia" w:ascii="仿宋_GB2312" w:hAnsi="仿宋_GB2312" w:eastAsia="仿宋_GB2312" w:cs="仿宋_GB2312"/>
          <w:color w:val="auto"/>
          <w:sz w:val="30"/>
          <w:szCs w:val="30"/>
          <w:highlight w:val="none"/>
          <w:u w:val="none"/>
        </w:rPr>
        <w:t>该考生可报考该岗位。</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u w:val="none"/>
          <w:lang w:eastAsia="zh-CN"/>
        </w:rPr>
        <w:t>考生</w:t>
      </w:r>
      <w:r>
        <w:rPr>
          <w:rFonts w:hint="eastAsia" w:ascii="仿宋_GB2312" w:hAnsi="仿宋_GB2312" w:eastAsia="仿宋_GB2312" w:cs="仿宋_GB2312"/>
          <w:color w:val="auto"/>
          <w:sz w:val="30"/>
          <w:szCs w:val="30"/>
          <w:highlight w:val="none"/>
          <w:u w:val="none"/>
          <w:lang w:val="en-US" w:eastAsia="zh-CN"/>
        </w:rPr>
        <w:t>G：</w:t>
      </w:r>
      <w:r>
        <w:rPr>
          <w:rFonts w:hint="eastAsia" w:ascii="仿宋_GB2312" w:hAnsi="仿宋_GB2312" w:eastAsia="仿宋_GB2312" w:cs="仿宋_GB2312"/>
          <w:color w:val="auto"/>
          <w:sz w:val="30"/>
          <w:szCs w:val="30"/>
          <w:highlight w:val="none"/>
          <w:u w:val="none"/>
        </w:rPr>
        <w:t>取得英语专业本科学历、学士学位，工商管理专业</w:t>
      </w:r>
      <w:r>
        <w:rPr>
          <w:rFonts w:hint="eastAsia" w:ascii="仿宋_GB2312" w:hAnsi="仿宋_GB2312" w:eastAsia="仿宋_GB2312" w:cs="仿宋_GB2312"/>
          <w:color w:val="auto"/>
          <w:sz w:val="30"/>
          <w:szCs w:val="30"/>
          <w:highlight w:val="none"/>
          <w:u w:val="none"/>
          <w:lang w:eastAsia="zh-CN"/>
        </w:rPr>
        <w:t>肄业，</w:t>
      </w:r>
      <w:r>
        <w:rPr>
          <w:rFonts w:hint="eastAsia" w:ascii="仿宋_GB2312" w:hAnsi="仿宋_GB2312" w:eastAsia="仿宋_GB2312" w:cs="仿宋_GB2312"/>
          <w:color w:val="auto"/>
          <w:sz w:val="30"/>
          <w:szCs w:val="30"/>
          <w:highlight w:val="none"/>
          <w:u w:val="none"/>
        </w:rPr>
        <w:t>该考生不能报考该岗位。</w:t>
      </w:r>
    </w:p>
    <w:p>
      <w:pPr>
        <w:keepNext w:val="0"/>
        <w:keepLines w:val="0"/>
        <w:pageBreakBefore w:val="0"/>
        <w:kinsoku/>
        <w:wordWrap/>
        <w:overflowPunct/>
        <w:topLinePunct w:val="0"/>
        <w:autoSpaceDE/>
        <w:autoSpaceDN/>
        <w:bidi w:val="0"/>
        <w:spacing w:line="360" w:lineRule="auto"/>
        <w:ind w:firstLine="602" w:firstLineChars="200"/>
        <w:textAlignment w:val="auto"/>
        <w:outlineLvl w:val="1"/>
        <w:rPr>
          <w:rFonts w:hint="eastAsia" w:ascii="仿宋_GB2312" w:hAnsi="仿宋_GB2312" w:eastAsia="仿宋_GB2312" w:cs="仿宋_GB2312"/>
          <w:b/>
          <w:color w:val="auto"/>
          <w:sz w:val="30"/>
          <w:szCs w:val="30"/>
          <w:highlight w:val="none"/>
        </w:rPr>
      </w:pPr>
      <w:bookmarkStart w:id="43" w:name="_Toc18774"/>
      <w:bookmarkStart w:id="44" w:name="_Toc7542"/>
      <w:r>
        <w:rPr>
          <w:rFonts w:hint="eastAsia" w:ascii="仿宋_GB2312" w:hAnsi="仿宋_GB2312" w:eastAsia="仿宋_GB2312" w:cs="仿宋_GB2312"/>
          <w:b/>
          <w:color w:val="auto"/>
          <w:sz w:val="30"/>
          <w:szCs w:val="30"/>
          <w:highlight w:val="none"/>
        </w:rPr>
        <w:t>（三）专业资格的认定</w:t>
      </w:r>
      <w:bookmarkEnd w:id="43"/>
      <w:bookmarkEnd w:id="44"/>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将专业条件设置为“××类”的招聘岗位，报考者所学专业须符合《专业指导目录》中“××类”下所列专业；将专业条件设置为具体专业名称的，报考者所学专业须符合所列专业。</w:t>
      </w:r>
    </w:p>
    <w:p>
      <w:pPr>
        <w:keepNext w:val="0"/>
        <w:keepLines w:val="0"/>
        <w:pageBreakBefore w:val="0"/>
        <w:widowControl/>
        <w:kinsoku/>
        <w:wordWrap/>
        <w:overflowPunct/>
        <w:topLinePunct w:val="0"/>
        <w:autoSpaceDE/>
        <w:autoSpaceDN/>
        <w:bidi w:val="0"/>
        <w:spacing w:line="360" w:lineRule="auto"/>
        <w:ind w:firstLine="645"/>
        <w:jc w:val="left"/>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专业要求“临床医学”专业的，含“临床医学”或“临床医学硕士”或“临床医学博士”，其他专业以此类推。</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若报考者所学专业不在《专业指导目录》中，报考者须提供学历证、学位证、主干课程成绩表、论文发表情况、学校证明等有效凭证，由</w:t>
      </w:r>
      <w:r>
        <w:rPr>
          <w:rFonts w:hint="eastAsia" w:ascii="仿宋_GB2312" w:hAnsi="仿宋_GB2312" w:eastAsia="仿宋_GB2312" w:cs="仿宋_GB2312"/>
          <w:color w:val="auto"/>
          <w:sz w:val="30"/>
          <w:szCs w:val="30"/>
          <w:highlight w:val="none"/>
          <w:lang w:eastAsia="zh-CN"/>
        </w:rPr>
        <w:t>招聘单位</w:t>
      </w:r>
      <w:r>
        <w:rPr>
          <w:rFonts w:hint="eastAsia" w:ascii="仿宋_GB2312" w:hAnsi="仿宋_GB2312" w:eastAsia="仿宋_GB2312" w:cs="仿宋_GB2312"/>
          <w:color w:val="auto"/>
          <w:sz w:val="30"/>
          <w:szCs w:val="30"/>
          <w:highlight w:val="none"/>
        </w:rPr>
        <w:t>会同主管部门负责认定。报考者所学专业</w:t>
      </w:r>
      <w:r>
        <w:rPr>
          <w:rFonts w:hint="eastAsia" w:ascii="仿宋_GB2312" w:hAnsi="仿宋_GB2312" w:eastAsia="仿宋_GB2312" w:cs="仿宋_GB2312"/>
          <w:color w:val="auto"/>
          <w:sz w:val="30"/>
          <w:szCs w:val="30"/>
          <w:highlight w:val="none"/>
          <w:lang w:eastAsia="zh-CN"/>
        </w:rPr>
        <w:t>只字不差体现</w:t>
      </w:r>
      <w:r>
        <w:rPr>
          <w:rFonts w:hint="eastAsia" w:ascii="仿宋_GB2312" w:hAnsi="仿宋_GB2312" w:eastAsia="仿宋_GB2312" w:cs="仿宋_GB2312"/>
          <w:color w:val="auto"/>
          <w:sz w:val="30"/>
          <w:szCs w:val="30"/>
          <w:highlight w:val="none"/>
        </w:rPr>
        <w:t>在《专业指导目录》中，但未列入招聘岗位所要求的专业，不得报考该岗位。</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经与招</w:t>
      </w:r>
      <w:r>
        <w:rPr>
          <w:rFonts w:hint="eastAsia" w:ascii="仿宋_GB2312" w:hAnsi="仿宋_GB2312" w:eastAsia="仿宋_GB2312" w:cs="仿宋_GB2312"/>
          <w:color w:val="auto"/>
          <w:sz w:val="30"/>
          <w:szCs w:val="30"/>
          <w:highlight w:val="none"/>
          <w:lang w:eastAsia="zh-CN"/>
        </w:rPr>
        <w:t>聘</w:t>
      </w:r>
      <w:r>
        <w:rPr>
          <w:rFonts w:hint="eastAsia" w:ascii="仿宋_GB2312" w:hAnsi="仿宋_GB2312" w:eastAsia="仿宋_GB2312" w:cs="仿宋_GB2312"/>
          <w:color w:val="auto"/>
          <w:sz w:val="30"/>
          <w:szCs w:val="30"/>
          <w:highlight w:val="none"/>
        </w:rPr>
        <w:t>单位沟通，若报考者对专业资格审查结果仍有异议的，可在规定期限内及时通过</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报名系统</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的申诉通道提出申诉。</w:t>
      </w:r>
    </w:p>
    <w:p>
      <w:pPr>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600" w:firstLineChars="200"/>
        <w:jc w:val="both"/>
        <w:textAlignment w:val="auto"/>
        <w:outlineLvl w:val="0"/>
        <w:rPr>
          <w:rFonts w:hint="eastAsia" w:ascii="黑体" w:hAnsi="黑体" w:eastAsia="黑体" w:cs="黑体"/>
          <w:color w:val="auto"/>
          <w:sz w:val="30"/>
          <w:szCs w:val="30"/>
          <w:highlight w:val="none"/>
          <w:u w:val="none"/>
          <w:lang w:val="en-US" w:eastAsia="zh-CN"/>
        </w:rPr>
      </w:pPr>
      <w:bookmarkStart w:id="45" w:name="_Toc12732"/>
      <w:bookmarkStart w:id="46" w:name="_Toc6132"/>
      <w:bookmarkStart w:id="47" w:name="_Toc2470"/>
      <w:r>
        <w:rPr>
          <w:rFonts w:hint="eastAsia" w:ascii="黑体" w:hAnsi="黑体" w:eastAsia="黑体" w:cs="黑体"/>
          <w:color w:val="auto"/>
          <w:sz w:val="30"/>
          <w:szCs w:val="30"/>
          <w:highlight w:val="none"/>
          <w:u w:val="none"/>
          <w:lang w:val="en-US" w:eastAsia="zh-CN"/>
        </w:rPr>
        <w:t>七、可免笔试情形</w:t>
      </w:r>
      <w:bookmarkEnd w:id="45"/>
      <w:bookmarkEnd w:id="46"/>
      <w:bookmarkEnd w:id="47"/>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招聘岗位要求研究生学历或硕士以上学位或副高以上职称的，招聘组织单位可根据实际情况，准许具有与招聘岗位专业要求相一致的研究生学历或硕士以上学位（含应届毕业生）或副高以上专业技术职务任职资格的应聘人员免笔试直接参加面试，但当岗位符合条件的报名人数（指通过网上报名资格初审的人数，下同）与拟聘用人数比例超过5:1（不含5:1）时，所有报考人员均须参加笔试。</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免笔试岗位由招聘单位及其主管部门于报名结束后，根据具体情况及时提出,</w:t>
      </w:r>
      <w:r>
        <w:rPr>
          <w:rFonts w:hint="eastAsia" w:ascii="仿宋_GB2312" w:hAnsi="仿宋_GB2312" w:eastAsia="仿宋_GB2312" w:cs="仿宋_GB2312"/>
          <w:color w:val="auto"/>
          <w:sz w:val="30"/>
          <w:szCs w:val="30"/>
        </w:rPr>
        <w:t>并报区人社局研究同意后考前报备厦门市人力资源和社会保障局</w:t>
      </w:r>
      <w:r>
        <w:rPr>
          <w:rFonts w:hint="eastAsia" w:ascii="仿宋_GB2312" w:hAnsi="仿宋_GB2312" w:eastAsia="仿宋_GB2312" w:cs="仿宋_GB2312"/>
          <w:color w:val="auto"/>
          <w:sz w:val="30"/>
          <w:szCs w:val="30"/>
          <w:lang w:eastAsia="zh-Hans"/>
        </w:rPr>
        <w:t>，</w:t>
      </w:r>
      <w:r>
        <w:rPr>
          <w:rFonts w:hint="eastAsia" w:ascii="仿宋_GB2312" w:hAnsi="仿宋_GB2312" w:eastAsia="仿宋_GB2312" w:cs="仿宋_GB2312"/>
          <w:color w:val="auto"/>
          <w:sz w:val="30"/>
          <w:szCs w:val="30"/>
          <w:lang w:val="en-US" w:eastAsia="zh-Hans"/>
        </w:rPr>
        <w:t>在</w:t>
      </w:r>
      <w:r>
        <w:rPr>
          <w:rFonts w:hint="eastAsia" w:ascii="仿宋_GB2312" w:hAnsi="仿宋_GB2312" w:eastAsia="仿宋_GB2312" w:cs="仿宋_GB2312"/>
          <w:color w:val="auto"/>
          <w:sz w:val="30"/>
          <w:szCs w:val="30"/>
          <w:lang w:eastAsia="zh-CN"/>
        </w:rPr>
        <w:t>厦门市卫生健康事业单位招聘考试系统及集美区人民政府官方网站（</w:t>
      </w:r>
      <w:r>
        <w:rPr>
          <w:rFonts w:hint="eastAsia" w:ascii="仿宋_GB2312" w:hAnsi="仿宋_GB2312" w:eastAsia="仿宋_GB2312" w:cs="仿宋_GB2312"/>
          <w:color w:val="auto"/>
          <w:sz w:val="30"/>
          <w:szCs w:val="30"/>
          <w:lang w:val="en-US" w:eastAsia="zh-CN"/>
        </w:rPr>
        <w:t>http://www.jimei.gov.cn/</w:t>
      </w:r>
      <w:r>
        <w:rPr>
          <w:rFonts w:hint="eastAsia" w:ascii="仿宋_GB2312" w:hAnsi="仿宋_GB2312" w:eastAsia="仿宋_GB2312" w:cs="仿宋_GB2312"/>
          <w:color w:val="auto"/>
          <w:sz w:val="30"/>
          <w:szCs w:val="30"/>
          <w:lang w:eastAsia="zh-CN"/>
        </w:rPr>
        <w:t>）政府公告</w:t>
      </w:r>
      <w:r>
        <w:rPr>
          <w:rFonts w:hint="eastAsia" w:ascii="仿宋_GB2312" w:hAnsi="仿宋_GB2312" w:eastAsia="仿宋_GB2312" w:cs="仿宋_GB2312"/>
          <w:color w:val="auto"/>
          <w:sz w:val="30"/>
          <w:szCs w:val="30"/>
          <w:lang w:val="en-US" w:eastAsia="zh-Hans"/>
        </w:rPr>
        <w:t>另行公告</w:t>
      </w:r>
      <w:r>
        <w:rPr>
          <w:rFonts w:hint="eastAsia" w:ascii="仿宋_GB2312" w:hAnsi="仿宋_GB2312" w:eastAsia="仿宋_GB2312" w:cs="仿宋_GB2312"/>
          <w:color w:val="auto"/>
          <w:sz w:val="30"/>
          <w:szCs w:val="30"/>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firstLine="600" w:firstLineChars="200"/>
        <w:jc w:val="both"/>
        <w:textAlignment w:val="auto"/>
        <w:outlineLvl w:val="0"/>
        <w:rPr>
          <w:rFonts w:hint="eastAsia" w:ascii="黑体" w:hAnsi="黑体" w:eastAsia="黑体" w:cs="黑体"/>
          <w:b w:val="0"/>
          <w:bCs w:val="0"/>
          <w:color w:val="auto"/>
          <w:sz w:val="30"/>
          <w:szCs w:val="30"/>
          <w:highlight w:val="none"/>
          <w:lang w:val="en-US" w:eastAsia="zh-CN"/>
        </w:rPr>
      </w:pPr>
      <w:bookmarkStart w:id="48" w:name="_Toc50132334"/>
      <w:bookmarkStart w:id="49" w:name="_Toc10319"/>
      <w:bookmarkStart w:id="50" w:name="_Toc28861"/>
      <w:r>
        <w:rPr>
          <w:rFonts w:hint="eastAsia" w:ascii="黑体" w:hAnsi="黑体" w:eastAsia="黑体" w:cs="黑体"/>
          <w:b w:val="0"/>
          <w:bCs w:val="0"/>
          <w:color w:val="auto"/>
          <w:sz w:val="30"/>
          <w:szCs w:val="30"/>
          <w:highlight w:val="none"/>
          <w:lang w:eastAsia="zh-CN"/>
        </w:rPr>
        <w:t>八、岗位开考比例</w:t>
      </w:r>
      <w:bookmarkEnd w:id="48"/>
      <w:bookmarkEnd w:id="49"/>
      <w:bookmarkEnd w:id="50"/>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符合岗位资格条件的报名人数（指通过网上报名资格初审的人数）与岗位拟聘人数比例达不到3:1的，原则上取消开考或相应减少招聘人数。</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按要求可</w:t>
      </w:r>
      <w:r>
        <w:rPr>
          <w:rFonts w:hint="eastAsia" w:ascii="仿宋_GB2312" w:hAnsi="仿宋_GB2312" w:eastAsia="仿宋_GB2312" w:cs="仿宋_GB2312"/>
          <w:color w:val="auto"/>
          <w:sz w:val="30"/>
          <w:szCs w:val="30"/>
          <w:highlight w:val="none"/>
        </w:rPr>
        <w:t>免笔试、取消开考、</w:t>
      </w:r>
      <w:r>
        <w:rPr>
          <w:rFonts w:hint="eastAsia" w:ascii="仿宋_GB2312" w:hAnsi="仿宋_GB2312" w:eastAsia="仿宋_GB2312" w:cs="仿宋_GB2312"/>
          <w:color w:val="auto"/>
          <w:sz w:val="30"/>
          <w:szCs w:val="30"/>
          <w:highlight w:val="none"/>
          <w:lang w:eastAsia="zh-CN"/>
        </w:rPr>
        <w:t>减少</w:t>
      </w:r>
      <w:r>
        <w:rPr>
          <w:rFonts w:hint="eastAsia" w:ascii="仿宋_GB2312" w:hAnsi="仿宋_GB2312" w:eastAsia="仿宋_GB2312" w:cs="仿宋_GB2312"/>
          <w:color w:val="auto"/>
          <w:sz w:val="30"/>
          <w:szCs w:val="30"/>
          <w:highlight w:val="none"/>
        </w:rPr>
        <w:t>招聘人数的岗位，由招聘单位及其主管部门于报名结束后提出意见，报区人社局研究同意并报备厦门市人力资源和社会保障局。情况特殊确需降低开考比例的岗位，由招聘单位及其主管部门研究提出意见，经区人社局同意并报市人社局批准</w:t>
      </w: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color w:val="auto"/>
          <w:sz w:val="30"/>
          <w:szCs w:val="30"/>
          <w:highlight w:val="none"/>
          <w:lang w:eastAsia="zh-CN"/>
        </w:rPr>
        <w:t>上述岗位开考情况</w:t>
      </w:r>
      <w:r>
        <w:rPr>
          <w:rFonts w:hint="eastAsia" w:ascii="仿宋_GB2312" w:hAnsi="仿宋_GB2312" w:eastAsia="仿宋_GB2312" w:cs="仿宋_GB2312"/>
          <w:color w:val="auto"/>
          <w:sz w:val="30"/>
          <w:szCs w:val="30"/>
          <w:highlight w:val="none"/>
        </w:rPr>
        <w:t>在</w:t>
      </w:r>
      <w:r>
        <w:rPr>
          <w:rFonts w:hint="eastAsia" w:ascii="仿宋_GB2312" w:hAnsi="仿宋_GB2312" w:eastAsia="仿宋_GB2312" w:cs="仿宋_GB2312"/>
          <w:color w:val="auto"/>
          <w:sz w:val="30"/>
          <w:szCs w:val="30"/>
          <w:highlight w:val="none"/>
          <w:lang w:eastAsia="zh-Hans"/>
        </w:rPr>
        <w:t>“</w:t>
      </w:r>
      <w:r>
        <w:rPr>
          <w:rFonts w:hint="eastAsia" w:ascii="仿宋_GB2312" w:hAnsi="仿宋_GB2312" w:eastAsia="仿宋_GB2312" w:cs="仿宋_GB2312"/>
          <w:color w:val="auto"/>
          <w:sz w:val="30"/>
          <w:szCs w:val="30"/>
          <w:highlight w:val="none"/>
          <w:lang w:val="en-US" w:eastAsia="zh-Hans"/>
        </w:rPr>
        <w:t>报名系统</w:t>
      </w:r>
      <w:r>
        <w:rPr>
          <w:rFonts w:hint="eastAsia" w:ascii="仿宋_GB2312" w:hAnsi="仿宋_GB2312" w:eastAsia="仿宋_GB2312" w:cs="仿宋_GB2312"/>
          <w:color w:val="auto"/>
          <w:sz w:val="30"/>
          <w:szCs w:val="30"/>
          <w:highlight w:val="none"/>
          <w:lang w:eastAsia="zh-Hans"/>
        </w:rPr>
        <w:t>”</w:t>
      </w:r>
      <w:r>
        <w:rPr>
          <w:rFonts w:hint="eastAsia" w:ascii="仿宋_GB2312" w:hAnsi="仿宋_GB2312" w:eastAsia="仿宋_GB2312" w:cs="仿宋_GB2312"/>
          <w:color w:val="auto"/>
          <w:sz w:val="30"/>
          <w:szCs w:val="30"/>
          <w:highlight w:val="none"/>
          <w:lang w:val="en-US" w:eastAsia="zh-Hans"/>
        </w:rPr>
        <w:t>及集美区人民政府官方网站</w:t>
      </w:r>
      <w:r>
        <w:rPr>
          <w:rFonts w:hint="eastAsia" w:ascii="仿宋_GB2312" w:hAnsi="仿宋_GB2312" w:eastAsia="仿宋_GB2312" w:cs="仿宋_GB2312"/>
          <w:color w:val="auto"/>
          <w:sz w:val="30"/>
          <w:szCs w:val="30"/>
          <w:highlight w:val="none"/>
          <w:lang w:eastAsia="zh-CN"/>
        </w:rPr>
        <w:t>通知公告栏</w:t>
      </w:r>
      <w:r>
        <w:rPr>
          <w:rFonts w:hint="eastAsia" w:ascii="仿宋_GB2312" w:hAnsi="仿宋_GB2312" w:eastAsia="仿宋_GB2312" w:cs="仿宋_GB2312"/>
          <w:color w:val="auto"/>
          <w:sz w:val="30"/>
          <w:szCs w:val="30"/>
          <w:highlight w:val="none"/>
        </w:rPr>
        <w:t>另行公告</w:t>
      </w:r>
      <w:r>
        <w:rPr>
          <w:rFonts w:hint="eastAsia" w:ascii="仿宋_GB2312" w:hAnsi="仿宋_GB2312" w:eastAsia="仿宋_GB2312" w:cs="仿宋_GB2312"/>
          <w:color w:val="auto"/>
          <w:sz w:val="30"/>
          <w:szCs w:val="30"/>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firstLine="600" w:firstLineChars="200"/>
        <w:jc w:val="both"/>
        <w:textAlignment w:val="auto"/>
        <w:outlineLvl w:val="0"/>
        <w:rPr>
          <w:rFonts w:hint="eastAsia" w:ascii="黑体" w:hAnsi="黑体" w:eastAsia="黑体" w:cs="黑体"/>
          <w:b w:val="0"/>
          <w:bCs w:val="0"/>
          <w:color w:val="auto"/>
          <w:sz w:val="30"/>
          <w:szCs w:val="30"/>
          <w:highlight w:val="none"/>
        </w:rPr>
      </w:pPr>
      <w:bookmarkStart w:id="51" w:name="_Toc6597"/>
      <w:bookmarkStart w:id="52" w:name="_Toc12051"/>
      <w:r>
        <w:rPr>
          <w:rFonts w:hint="eastAsia" w:ascii="黑体" w:hAnsi="黑体" w:eastAsia="黑体" w:cs="黑体"/>
          <w:b w:val="0"/>
          <w:bCs w:val="0"/>
          <w:color w:val="auto"/>
          <w:sz w:val="30"/>
          <w:szCs w:val="30"/>
          <w:highlight w:val="none"/>
          <w:lang w:eastAsia="zh-CN"/>
        </w:rPr>
        <w:t>九、</w:t>
      </w:r>
      <w:r>
        <w:rPr>
          <w:rFonts w:hint="eastAsia" w:ascii="黑体" w:hAnsi="黑体" w:eastAsia="黑体" w:cs="黑体"/>
          <w:b w:val="0"/>
          <w:bCs w:val="0"/>
          <w:color w:val="auto"/>
          <w:sz w:val="30"/>
          <w:szCs w:val="30"/>
          <w:highlight w:val="none"/>
        </w:rPr>
        <w:t>笔试加分</w:t>
      </w:r>
      <w:bookmarkEnd w:id="51"/>
      <w:bookmarkEnd w:id="52"/>
    </w:p>
    <w:p>
      <w:pPr>
        <w:keepNext w:val="0"/>
        <w:keepLines w:val="0"/>
        <w:pageBreakBefore w:val="0"/>
        <w:kinsoku/>
        <w:wordWrap/>
        <w:overflowPunct/>
        <w:topLinePunct w:val="0"/>
        <w:autoSpaceDE/>
        <w:autoSpaceDN/>
        <w:bidi w:val="0"/>
        <w:spacing w:line="360" w:lineRule="auto"/>
        <w:ind w:firstLine="602" w:firstLineChars="200"/>
        <w:textAlignment w:val="auto"/>
        <w:outlineLvl w:val="1"/>
        <w:rPr>
          <w:rFonts w:hint="eastAsia" w:ascii="仿宋_GB2312" w:hAnsi="仿宋_GB2312" w:eastAsia="仿宋_GB2312" w:cs="仿宋_GB2312"/>
          <w:b/>
          <w:bCs/>
          <w:color w:val="auto"/>
          <w:sz w:val="30"/>
          <w:szCs w:val="30"/>
          <w:highlight w:val="none"/>
          <w:lang w:eastAsia="zh-CN"/>
        </w:rPr>
      </w:pPr>
      <w:bookmarkStart w:id="53" w:name="_Toc16194"/>
      <w:bookmarkStart w:id="54" w:name="_Toc15515"/>
      <w:bookmarkStart w:id="55" w:name="_Toc5681"/>
      <w:bookmarkStart w:id="56" w:name="_Toc13976"/>
      <w:bookmarkStart w:id="57" w:name="_Toc50132339"/>
      <w:bookmarkStart w:id="58" w:name="_Toc15632"/>
      <w:bookmarkStart w:id="59" w:name="_Toc17898"/>
      <w:bookmarkStart w:id="60" w:name="_Toc9098"/>
      <w:bookmarkStart w:id="61" w:name="_Toc10848"/>
      <w:r>
        <w:rPr>
          <w:rFonts w:hint="eastAsia" w:ascii="仿宋_GB2312" w:hAnsi="仿宋_GB2312" w:eastAsia="仿宋_GB2312" w:cs="仿宋_GB2312"/>
          <w:b/>
          <w:bCs/>
          <w:color w:val="auto"/>
          <w:sz w:val="30"/>
          <w:szCs w:val="30"/>
          <w:highlight w:val="none"/>
          <w:lang w:eastAsia="zh-CN"/>
        </w:rPr>
        <w:t>（一）加分原则</w:t>
      </w:r>
      <w:bookmarkEnd w:id="53"/>
      <w:bookmarkEnd w:id="54"/>
      <w:bookmarkEnd w:id="55"/>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笔试成绩</w:t>
      </w: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color w:val="auto"/>
          <w:sz w:val="30"/>
          <w:szCs w:val="30"/>
          <w:highlight w:val="none"/>
        </w:rPr>
        <w:t>笔试卷面分</w:t>
      </w: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color w:val="auto"/>
          <w:sz w:val="30"/>
          <w:szCs w:val="30"/>
          <w:highlight w:val="none"/>
        </w:rPr>
        <w:t>各项加分</w:t>
      </w:r>
      <w:r>
        <w:rPr>
          <w:rFonts w:hint="eastAsia" w:ascii="仿宋_GB2312" w:hAnsi="仿宋_GB2312" w:eastAsia="仿宋_GB2312" w:cs="仿宋_GB2312"/>
          <w:color w:val="auto"/>
          <w:sz w:val="30"/>
          <w:szCs w:val="30"/>
          <w:highlight w:val="none"/>
          <w:lang w:eastAsia="zh-CN"/>
        </w:rPr>
        <w:t>。</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加分仅限于笔试卷面分，免笔试人员在面试环节不享受加分。加分不受笔试满分限制。</w:t>
      </w:r>
      <w:r>
        <w:rPr>
          <w:rFonts w:hint="eastAsia" w:ascii="仿宋_GB2312" w:hAnsi="仿宋_GB2312" w:eastAsia="仿宋_GB2312" w:cs="仿宋_GB2312"/>
          <w:b/>
          <w:bCs/>
          <w:color w:val="auto"/>
          <w:sz w:val="30"/>
          <w:szCs w:val="30"/>
          <w:highlight w:val="none"/>
        </w:rPr>
        <w:t>各项加分可累计计算，但累计最高不超过10分。</w:t>
      </w:r>
      <w:r>
        <w:rPr>
          <w:rFonts w:hint="eastAsia" w:ascii="仿宋_GB2312" w:hAnsi="仿宋_GB2312" w:eastAsia="仿宋_GB2312" w:cs="仿宋_GB2312"/>
          <w:color w:val="auto"/>
          <w:sz w:val="30"/>
          <w:szCs w:val="30"/>
          <w:highlight w:val="none"/>
        </w:rPr>
        <w:t>曾通过享受政策待遇被录（聘）为公务员或事业单位编内工作人员的，不再享受相应项目的加分。</w:t>
      </w:r>
    </w:p>
    <w:p>
      <w:pPr>
        <w:keepNext w:val="0"/>
        <w:keepLines w:val="0"/>
        <w:pageBreakBefore w:val="0"/>
        <w:kinsoku/>
        <w:wordWrap/>
        <w:overflowPunct/>
        <w:topLinePunct w:val="0"/>
        <w:autoSpaceDE/>
        <w:autoSpaceDN/>
        <w:bidi w:val="0"/>
        <w:snapToGrid w:val="0"/>
        <w:spacing w:line="360" w:lineRule="auto"/>
        <w:ind w:firstLine="602" w:firstLineChars="200"/>
        <w:textAlignment w:val="auto"/>
        <w:outlineLvl w:val="1"/>
        <w:rPr>
          <w:rFonts w:hint="eastAsia" w:ascii="仿宋_GB2312" w:hAnsi="仿宋_GB2312" w:eastAsia="仿宋_GB2312" w:cs="仿宋_GB2312"/>
          <w:b/>
          <w:color w:val="auto"/>
          <w:sz w:val="30"/>
          <w:szCs w:val="30"/>
          <w:highlight w:val="none"/>
        </w:rPr>
      </w:pPr>
      <w:bookmarkStart w:id="62" w:name="_Toc12570"/>
      <w:bookmarkStart w:id="63" w:name="_Toc17317"/>
      <w:bookmarkStart w:id="64" w:name="_Toc11331"/>
      <w:bookmarkStart w:id="65" w:name="_Toc13528"/>
      <w:r>
        <w:rPr>
          <w:rFonts w:hint="eastAsia" w:ascii="仿宋_GB2312" w:hAnsi="仿宋_GB2312" w:eastAsia="仿宋_GB2312" w:cs="仿宋_GB2312"/>
          <w:b/>
          <w:color w:val="auto"/>
          <w:sz w:val="30"/>
          <w:szCs w:val="30"/>
          <w:highlight w:val="none"/>
        </w:rPr>
        <w:t>（二）加分对象</w:t>
      </w:r>
      <w:bookmarkEnd w:id="62"/>
      <w:bookmarkEnd w:id="63"/>
    </w:p>
    <w:p>
      <w:pPr>
        <w:keepNext w:val="0"/>
        <w:keepLines w:val="0"/>
        <w:pageBreakBefore w:val="0"/>
        <w:kinsoku/>
        <w:wordWrap/>
        <w:overflowPunct/>
        <w:topLinePunct w:val="0"/>
        <w:autoSpaceDE/>
        <w:autoSpaceDN/>
        <w:bidi w:val="0"/>
        <w:snapToGrid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经报名资格审核通过并符合以下加分政策的报考人员可享受笔试加分待遇：</w:t>
      </w:r>
    </w:p>
    <w:p>
      <w:pPr>
        <w:keepNext w:val="0"/>
        <w:keepLines w:val="0"/>
        <w:pageBreakBefore w:val="0"/>
        <w:kinsoku/>
        <w:wordWrap/>
        <w:overflowPunct/>
        <w:topLinePunct w:val="0"/>
        <w:autoSpaceDE/>
        <w:autoSpaceDN/>
        <w:bidi w:val="0"/>
        <w:spacing w:line="360" w:lineRule="auto"/>
        <w:ind w:firstLine="602" w:firstLineChars="200"/>
        <w:textAlignment w:val="auto"/>
        <w:outlineLvl w:val="2"/>
        <w:rPr>
          <w:rFonts w:hint="eastAsia" w:ascii="仿宋_GB2312" w:hAnsi="仿宋_GB2312" w:eastAsia="仿宋_GB2312" w:cs="仿宋_GB2312"/>
          <w:b/>
          <w:bCs/>
          <w:color w:val="auto"/>
          <w:sz w:val="30"/>
          <w:szCs w:val="30"/>
          <w:highlight w:val="none"/>
        </w:rPr>
      </w:pPr>
      <w:bookmarkStart w:id="66" w:name="_Toc5380"/>
      <w:bookmarkStart w:id="67" w:name="_Toc30543"/>
      <w:r>
        <w:rPr>
          <w:rFonts w:hint="eastAsia" w:ascii="仿宋_GB2312" w:hAnsi="仿宋_GB2312" w:eastAsia="仿宋_GB2312" w:cs="仿宋_GB2312"/>
          <w:b/>
          <w:bCs/>
          <w:color w:val="auto"/>
          <w:sz w:val="30"/>
          <w:szCs w:val="30"/>
          <w:highlight w:val="none"/>
        </w:rPr>
        <w:t>1.服务基层项目高校毕业人员</w:t>
      </w:r>
      <w:bookmarkEnd w:id="66"/>
      <w:bookmarkEnd w:id="67"/>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参加国家和福建省组织实施的“三支一扶”计划、“志愿服务西部计划”（含研究生支教团）、“志愿服务欠发达地区计划”和“服务社区计划”等，服务期限为1年及以上且于2022年12月31日前期满考核合格的福建户籍或福建生源高校毕业人员：服务期限2年及以上且期满考核合格的服务基层项目毕业生，笔试卷面分加5分；服务期限1年及以上不满2年且期满考核合格的服务基层项目毕业生，笔试卷面分加5分。 </w:t>
      </w:r>
    </w:p>
    <w:p>
      <w:pPr>
        <w:keepNext w:val="0"/>
        <w:keepLines w:val="0"/>
        <w:pageBreakBefore w:val="0"/>
        <w:kinsoku/>
        <w:wordWrap/>
        <w:overflowPunct/>
        <w:topLinePunct w:val="0"/>
        <w:autoSpaceDE/>
        <w:autoSpaceDN/>
        <w:bidi w:val="0"/>
        <w:spacing w:line="360" w:lineRule="auto"/>
        <w:ind w:firstLine="602" w:firstLineChars="200"/>
        <w:textAlignment w:val="auto"/>
        <w:outlineLvl w:val="2"/>
        <w:rPr>
          <w:rFonts w:hint="eastAsia" w:ascii="仿宋_GB2312" w:hAnsi="仿宋_GB2312" w:eastAsia="仿宋_GB2312" w:cs="仿宋_GB2312"/>
          <w:b/>
          <w:bCs/>
          <w:color w:val="auto"/>
          <w:sz w:val="30"/>
          <w:szCs w:val="30"/>
          <w:highlight w:val="none"/>
        </w:rPr>
      </w:pPr>
      <w:bookmarkStart w:id="68" w:name="_Toc11927"/>
      <w:bookmarkStart w:id="69" w:name="_Toc15089"/>
      <w:r>
        <w:rPr>
          <w:rFonts w:hint="eastAsia" w:ascii="仿宋_GB2312" w:hAnsi="仿宋_GB2312" w:eastAsia="仿宋_GB2312" w:cs="仿宋_GB2312"/>
          <w:b/>
          <w:bCs/>
          <w:color w:val="auto"/>
          <w:sz w:val="30"/>
          <w:szCs w:val="30"/>
          <w:highlight w:val="none"/>
        </w:rPr>
        <w:t>2.退役士兵（含大学生退役士兵）</w:t>
      </w:r>
      <w:bookmarkEnd w:id="68"/>
      <w:bookmarkEnd w:id="69"/>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由福建省兵役机关批准入伍或福建生源的退役士兵（在福建省外应征入伍，但已于报名截止日前取得福建户籍的可参照），可享受以下笔试卷面分加分：服役满13年以上的加8分;服役满9年至12年的加6分;服役满6年至8年的加4分;服役满3年至5年的加2分;荣立二等功及以上的另加3分/次;荣立三等功的另加2分/次;获得优秀士官或优秀士兵或优秀义务兵荣誉称号的另加1分/次;伤残士兵另加3分;对在边防、高原、海岛等艰苦地区或从事飞行、舰艇工作5年及以上的，除享受以上加分外可再加3分；全日制普通教育大专以上学历学生在校期间应征入伍且退役后继续完成学业的，毕业后加5分；全日制普通教育大专以上学历毕业生应征入伍的，退役后加5分。</w:t>
      </w:r>
    </w:p>
    <w:p>
      <w:pPr>
        <w:keepNext w:val="0"/>
        <w:keepLines w:val="0"/>
        <w:pageBreakBefore w:val="0"/>
        <w:kinsoku/>
        <w:wordWrap/>
        <w:overflowPunct/>
        <w:topLinePunct w:val="0"/>
        <w:autoSpaceDE/>
        <w:autoSpaceDN/>
        <w:bidi w:val="0"/>
        <w:spacing w:line="360" w:lineRule="auto"/>
        <w:ind w:firstLine="602" w:firstLineChars="200"/>
        <w:textAlignment w:val="auto"/>
        <w:outlineLvl w:val="2"/>
        <w:rPr>
          <w:rFonts w:hint="eastAsia" w:ascii="仿宋_GB2312" w:hAnsi="仿宋_GB2312" w:eastAsia="仿宋_GB2312" w:cs="仿宋_GB2312"/>
          <w:b/>
          <w:bCs/>
          <w:color w:val="auto"/>
          <w:sz w:val="30"/>
          <w:szCs w:val="30"/>
          <w:highlight w:val="none"/>
        </w:rPr>
      </w:pPr>
      <w:bookmarkStart w:id="70" w:name="_Toc7639"/>
      <w:bookmarkStart w:id="71" w:name="_Toc23575"/>
      <w:r>
        <w:rPr>
          <w:rFonts w:hint="eastAsia" w:ascii="仿宋_GB2312" w:hAnsi="仿宋_GB2312" w:eastAsia="仿宋_GB2312" w:cs="仿宋_GB2312"/>
          <w:b/>
          <w:bCs/>
          <w:color w:val="auto"/>
          <w:sz w:val="30"/>
          <w:szCs w:val="30"/>
          <w:highlight w:val="none"/>
        </w:rPr>
        <w:t>3.退役优秀运动员</w:t>
      </w:r>
      <w:bookmarkEnd w:id="70"/>
      <w:bookmarkEnd w:id="71"/>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厦门市退役优秀运动员，可享受以下笔试卷面分加分：曾获得世界体育三大比赛（奥运会、世锦赛、世界杯）第2至第6名，亚洲体育三大比赛（亚运会、亚锦赛、亚洲杯）或全运会第2或第3名，全国锦标赛、全国冠军赛或篮球、排球、足球全国职业联赛第1名的，加9分；曾获得省运动会冠军，全国锦标赛、全国冠军赛或篮球、排球、足球全国职业联赛第2或第3名，亚洲体育三大比赛（亚运会、亚锦赛、亚洲杯）第4至第6名的，加7分。</w:t>
      </w:r>
    </w:p>
    <w:p>
      <w:pPr>
        <w:keepNext w:val="0"/>
        <w:keepLines w:val="0"/>
        <w:pageBreakBefore w:val="0"/>
        <w:kinsoku/>
        <w:wordWrap/>
        <w:overflowPunct/>
        <w:topLinePunct w:val="0"/>
        <w:autoSpaceDE/>
        <w:autoSpaceDN/>
        <w:bidi w:val="0"/>
        <w:spacing w:line="360" w:lineRule="auto"/>
        <w:ind w:firstLine="602" w:firstLineChars="200"/>
        <w:textAlignment w:val="auto"/>
        <w:outlineLvl w:val="1"/>
        <w:rPr>
          <w:rFonts w:hint="eastAsia" w:ascii="仿宋_GB2312" w:hAnsi="仿宋_GB2312" w:eastAsia="仿宋_GB2312" w:cs="仿宋_GB2312"/>
          <w:b/>
          <w:bCs/>
          <w:color w:val="auto"/>
          <w:sz w:val="30"/>
          <w:szCs w:val="30"/>
          <w:highlight w:val="none"/>
        </w:rPr>
      </w:pPr>
      <w:bookmarkStart w:id="72" w:name="_Toc14428"/>
      <w:bookmarkStart w:id="73" w:name="_Toc22910"/>
      <w:bookmarkStart w:id="74" w:name="_Toc23729"/>
      <w:r>
        <w:rPr>
          <w:rFonts w:hint="eastAsia" w:ascii="仿宋_GB2312" w:hAnsi="仿宋_GB2312" w:eastAsia="仿宋_GB2312" w:cs="仿宋_GB2312"/>
          <w:b/>
          <w:bCs/>
          <w:color w:val="auto"/>
          <w:sz w:val="30"/>
          <w:szCs w:val="30"/>
          <w:highlight w:val="none"/>
        </w:rPr>
        <w:t>（三）加分证明材料</w:t>
      </w:r>
      <w:bookmarkEnd w:id="72"/>
      <w:bookmarkEnd w:id="73"/>
      <w:bookmarkEnd w:id="74"/>
    </w:p>
    <w:p>
      <w:pPr>
        <w:keepNext w:val="0"/>
        <w:keepLines w:val="0"/>
        <w:pageBreakBefore w:val="0"/>
        <w:shd w:val="clear" w:color="auto" w:fill="FFFFFF"/>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符合加分政策的报考人员须在网上报名时如实填报，</w:t>
      </w:r>
      <w:r>
        <w:rPr>
          <w:rFonts w:hint="eastAsia" w:ascii="仿宋_GB2312" w:hAnsi="仿宋_GB2312" w:eastAsia="仿宋_GB2312" w:cs="仿宋_GB2312"/>
          <w:b/>
          <w:bCs/>
          <w:color w:val="auto"/>
          <w:sz w:val="30"/>
          <w:szCs w:val="30"/>
          <w:highlight w:val="none"/>
        </w:rPr>
        <w:t>并于网上报名期间主动向招聘单位沟通提交以下加分证明材料</w:t>
      </w:r>
      <w:r>
        <w:rPr>
          <w:rFonts w:hint="eastAsia" w:ascii="仿宋_GB2312" w:hAnsi="仿宋_GB2312" w:eastAsia="仿宋_GB2312" w:cs="仿宋_GB2312"/>
          <w:color w:val="auto"/>
          <w:sz w:val="30"/>
          <w:szCs w:val="30"/>
          <w:highlight w:val="none"/>
        </w:rPr>
        <w:t>（提交方式请与招聘单位联系人联系），否则视为放弃享受加分政策：</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1.服务基层项目毕业生须提交组织实施相应项目的机构出具的服务基层期满考核合格证书（或服务期满考核合格材料），以及福建户籍或福建生源证明材料。</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符合加分政策的退役士兵（含大学生退役士兵）安置在厦门市的，可于上班时间持身份证、退伍证前往安置地区级退役军人事务局开具证明；安置在厦门市以外的，可由安置地县级及以上退役军人事务部门开具证明。此前已由相关部门开具的证明继续有效。</w:t>
      </w:r>
    </w:p>
    <w:p>
      <w:pPr>
        <w:keepNext w:val="0"/>
        <w:keepLines w:val="0"/>
        <w:pageBreakBefore w:val="0"/>
        <w:kinsoku/>
        <w:wordWrap/>
        <w:overflowPunct/>
        <w:topLinePunct w:val="0"/>
        <w:autoSpaceDE/>
        <w:autoSpaceDN/>
        <w:bidi w:val="0"/>
        <w:snapToGrid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3.符合加分政策的我市退役优秀运动员可持相应奖项证书前往厦门市体育局人事处开具证明材料(联系电话0592-5339323)。</w:t>
      </w:r>
      <w:bookmarkEnd w:id="56"/>
      <w:bookmarkEnd w:id="57"/>
      <w:bookmarkEnd w:id="58"/>
      <w:bookmarkEnd w:id="59"/>
      <w:bookmarkEnd w:id="60"/>
      <w:bookmarkEnd w:id="61"/>
      <w:bookmarkEnd w:id="64"/>
      <w:bookmarkEnd w:id="65"/>
    </w:p>
    <w:p>
      <w:pPr>
        <w:keepNext w:val="0"/>
        <w:keepLines w:val="0"/>
        <w:pageBreakBefore w:val="0"/>
        <w:numPr>
          <w:ilvl w:val="0"/>
          <w:numId w:val="0"/>
        </w:numPr>
        <w:kinsoku/>
        <w:wordWrap/>
        <w:overflowPunct/>
        <w:topLinePunct w:val="0"/>
        <w:autoSpaceDE/>
        <w:autoSpaceDN/>
        <w:bidi w:val="0"/>
        <w:spacing w:line="360" w:lineRule="auto"/>
        <w:textAlignment w:val="auto"/>
        <w:outlineLvl w:val="0"/>
        <w:rPr>
          <w:rFonts w:hint="eastAsia" w:ascii="黑体" w:hAnsi="黑体" w:eastAsia="黑体" w:cs="黑体"/>
          <w:b/>
          <w:bCs/>
          <w:color w:val="auto"/>
          <w:sz w:val="30"/>
          <w:szCs w:val="30"/>
          <w:highlight w:val="none"/>
        </w:rPr>
      </w:pPr>
      <w:r>
        <w:rPr>
          <w:rFonts w:hint="eastAsia" w:ascii="黑体" w:hAnsi="黑体" w:eastAsia="黑体" w:cs="黑体"/>
          <w:b/>
          <w:bCs/>
          <w:color w:val="auto"/>
          <w:sz w:val="30"/>
          <w:szCs w:val="30"/>
          <w:highlight w:val="none"/>
          <w:lang w:val="en-US" w:eastAsia="zh-CN"/>
        </w:rPr>
        <w:t xml:space="preserve">    </w:t>
      </w:r>
      <w:bookmarkStart w:id="75" w:name="_Toc18138"/>
      <w:bookmarkStart w:id="76" w:name="_Toc30259"/>
      <w:r>
        <w:rPr>
          <w:rFonts w:hint="eastAsia" w:ascii="黑体" w:hAnsi="黑体" w:eastAsia="黑体" w:cs="黑体"/>
          <w:b w:val="0"/>
          <w:bCs w:val="0"/>
          <w:color w:val="auto"/>
          <w:sz w:val="30"/>
          <w:szCs w:val="30"/>
          <w:highlight w:val="none"/>
          <w:lang w:eastAsia="zh-CN"/>
        </w:rPr>
        <w:t>十、</w:t>
      </w:r>
      <w:r>
        <w:rPr>
          <w:rFonts w:hint="eastAsia" w:ascii="黑体" w:hAnsi="黑体" w:eastAsia="黑体" w:cs="黑体"/>
          <w:b w:val="0"/>
          <w:bCs w:val="0"/>
          <w:color w:val="auto"/>
          <w:sz w:val="30"/>
          <w:szCs w:val="30"/>
          <w:highlight w:val="none"/>
        </w:rPr>
        <w:t>综合总分计算</w:t>
      </w:r>
      <w:bookmarkEnd w:id="75"/>
      <w:bookmarkEnd w:id="76"/>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综合总分合格线为60分，其中：</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（一）免笔试参加面试的：综合总分</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面试成绩。</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（二）</w:t>
      </w:r>
      <w:r>
        <w:rPr>
          <w:rFonts w:hint="eastAsia" w:ascii="仿宋_GB2312" w:hAnsi="仿宋_GB2312" w:eastAsia="仿宋_GB2312" w:cs="仿宋_GB2312"/>
          <w:color w:val="auto"/>
          <w:sz w:val="30"/>
          <w:szCs w:val="30"/>
          <w:highlight w:val="none"/>
          <w:u w:val="none"/>
          <w:lang w:eastAsia="zh-CN"/>
        </w:rPr>
        <w:t>有笔试和面试</w:t>
      </w:r>
      <w:r>
        <w:rPr>
          <w:rFonts w:hint="eastAsia" w:ascii="仿宋_GB2312" w:hAnsi="仿宋_GB2312" w:eastAsia="仿宋_GB2312" w:cs="仿宋_GB2312"/>
          <w:color w:val="auto"/>
          <w:sz w:val="30"/>
          <w:szCs w:val="30"/>
          <w:highlight w:val="none"/>
        </w:rPr>
        <w:t>的：综合总分</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笔试成绩×60%+面试成绩×40%。</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笔试成绩、面试成绩、综合总分均采用四舍五入方式取小数点后2位（必要时可增加小数点位数）。对于</w:t>
      </w:r>
      <w:r>
        <w:rPr>
          <w:rFonts w:hint="eastAsia" w:ascii="仿宋_GB2312" w:hAnsi="仿宋_GB2312" w:eastAsia="仿宋_GB2312" w:cs="仿宋_GB2312"/>
          <w:color w:val="auto"/>
          <w:sz w:val="30"/>
          <w:szCs w:val="30"/>
          <w:highlight w:val="none"/>
          <w:lang w:eastAsia="zh-CN"/>
        </w:rPr>
        <w:t>综合总分</w:t>
      </w:r>
      <w:r>
        <w:rPr>
          <w:rFonts w:hint="eastAsia" w:ascii="仿宋_GB2312" w:hAnsi="仿宋_GB2312" w:eastAsia="仿宋_GB2312" w:cs="仿宋_GB2312"/>
          <w:color w:val="auto"/>
          <w:sz w:val="30"/>
          <w:szCs w:val="30"/>
          <w:highlight w:val="none"/>
        </w:rPr>
        <w:t>相同者，按以下</w:t>
      </w:r>
      <w:r>
        <w:rPr>
          <w:rFonts w:hint="eastAsia" w:ascii="仿宋_GB2312" w:hAnsi="仿宋_GB2312" w:eastAsia="仿宋_GB2312" w:cs="仿宋_GB2312"/>
          <w:color w:val="auto"/>
          <w:sz w:val="30"/>
          <w:szCs w:val="30"/>
          <w:highlight w:val="none"/>
          <w:lang w:eastAsia="zh-CN"/>
        </w:rPr>
        <w:t>顺序</w:t>
      </w:r>
      <w:r>
        <w:rPr>
          <w:rFonts w:hint="eastAsia" w:ascii="仿宋_GB2312" w:hAnsi="仿宋_GB2312" w:eastAsia="仿宋_GB2312" w:cs="仿宋_GB2312"/>
          <w:color w:val="auto"/>
          <w:sz w:val="30"/>
          <w:szCs w:val="30"/>
          <w:highlight w:val="none"/>
        </w:rPr>
        <w:t>进一步确定名次排列：</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（一）按笔试成绩从高到低排列；</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（二）若笔试成绩又相同，按面试成绩排列；</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（三）若面试成绩依然相同，</w:t>
      </w:r>
      <w:r>
        <w:rPr>
          <w:rFonts w:hint="eastAsia" w:ascii="仿宋_GB2312" w:hAnsi="仿宋_GB2312" w:eastAsia="仿宋_GB2312" w:cs="仿宋_GB2312"/>
          <w:color w:val="auto"/>
          <w:sz w:val="30"/>
          <w:szCs w:val="30"/>
          <w:highlight w:val="none"/>
          <w:lang w:eastAsia="zh-CN"/>
        </w:rPr>
        <w:t>符合国家、福建省或厦门市文件规定优先对象的，</w:t>
      </w:r>
      <w:r>
        <w:rPr>
          <w:rFonts w:hint="eastAsia" w:ascii="仿宋_GB2312" w:hAnsi="仿宋_GB2312" w:eastAsia="仿宋_GB2312" w:cs="仿宋_GB2312"/>
          <w:color w:val="auto"/>
          <w:sz w:val="30"/>
          <w:szCs w:val="30"/>
          <w:highlight w:val="none"/>
        </w:rPr>
        <w:t>优先进入体检环节。若无优先对象，可由考生协商一致的情况下签名同意自行采取简易方式确定最终进入体检环节人选，或由面试组织部门组织他们重新进行面试，取重新面试成绩较高者进入体检环节。</w:t>
      </w:r>
    </w:p>
    <w:p>
      <w:pPr>
        <w:keepNext w:val="0"/>
        <w:keepLines w:val="0"/>
        <w:pageBreakBefore w:val="0"/>
        <w:numPr>
          <w:ilvl w:val="0"/>
          <w:numId w:val="0"/>
        </w:numPr>
        <w:kinsoku/>
        <w:wordWrap/>
        <w:overflowPunct/>
        <w:topLinePunct w:val="0"/>
        <w:autoSpaceDE/>
        <w:autoSpaceDN/>
        <w:bidi w:val="0"/>
        <w:spacing w:line="360" w:lineRule="auto"/>
        <w:textAlignment w:val="auto"/>
        <w:outlineLvl w:val="0"/>
        <w:rPr>
          <w:rFonts w:hint="eastAsia" w:ascii="黑体" w:hAnsi="黑体" w:eastAsia="黑体" w:cs="黑体"/>
          <w:b/>
          <w:bCs/>
          <w:color w:val="auto"/>
          <w:sz w:val="30"/>
          <w:szCs w:val="30"/>
          <w:highlight w:val="none"/>
        </w:rPr>
      </w:pPr>
      <w:r>
        <w:rPr>
          <w:rFonts w:hint="eastAsia" w:ascii="黑体" w:hAnsi="黑体" w:eastAsia="黑体" w:cs="黑体"/>
          <w:b/>
          <w:bCs/>
          <w:color w:val="auto"/>
          <w:sz w:val="30"/>
          <w:szCs w:val="30"/>
          <w:highlight w:val="none"/>
          <w:lang w:val="en-US" w:eastAsia="zh-CN"/>
        </w:rPr>
        <w:t xml:space="preserve">    </w:t>
      </w:r>
      <w:bookmarkStart w:id="77" w:name="_Toc19682"/>
      <w:bookmarkStart w:id="78" w:name="_Toc16751"/>
      <w:r>
        <w:rPr>
          <w:rFonts w:hint="eastAsia" w:ascii="黑体" w:hAnsi="黑体" w:eastAsia="黑体" w:cs="黑体"/>
          <w:b w:val="0"/>
          <w:bCs w:val="0"/>
          <w:color w:val="auto"/>
          <w:sz w:val="30"/>
          <w:szCs w:val="30"/>
          <w:highlight w:val="none"/>
          <w:lang w:eastAsia="zh-CN"/>
        </w:rPr>
        <w:t>十一、</w:t>
      </w:r>
      <w:r>
        <w:rPr>
          <w:rFonts w:hint="eastAsia" w:ascii="黑体" w:hAnsi="黑体" w:eastAsia="黑体" w:cs="黑体"/>
          <w:b w:val="0"/>
          <w:bCs w:val="0"/>
          <w:color w:val="auto"/>
          <w:sz w:val="30"/>
          <w:szCs w:val="30"/>
          <w:highlight w:val="none"/>
        </w:rPr>
        <w:t>体检和考察</w:t>
      </w:r>
      <w:bookmarkEnd w:id="77"/>
      <w:bookmarkEnd w:id="78"/>
    </w:p>
    <w:p>
      <w:pPr>
        <w:keepNext w:val="0"/>
        <w:keepLines w:val="0"/>
        <w:pageBreakBefore w:val="0"/>
        <w:kinsoku/>
        <w:wordWrap/>
        <w:overflowPunct/>
        <w:topLinePunct w:val="0"/>
        <w:autoSpaceDE/>
        <w:autoSpaceDN/>
        <w:bidi w:val="0"/>
        <w:spacing w:line="360" w:lineRule="auto"/>
        <w:ind w:firstLine="602" w:firstLineChars="200"/>
        <w:textAlignment w:val="auto"/>
        <w:outlineLvl w:val="1"/>
        <w:rPr>
          <w:rFonts w:hint="eastAsia" w:ascii="仿宋_GB2312" w:hAnsi="仿宋_GB2312" w:eastAsia="仿宋_GB2312" w:cs="仿宋_GB2312"/>
          <w:b/>
          <w:color w:val="auto"/>
          <w:sz w:val="30"/>
          <w:szCs w:val="30"/>
          <w:highlight w:val="none"/>
        </w:rPr>
      </w:pPr>
      <w:bookmarkStart w:id="79" w:name="_Toc23092"/>
      <w:bookmarkStart w:id="80" w:name="_Toc7008"/>
      <w:r>
        <w:rPr>
          <w:rFonts w:hint="eastAsia" w:ascii="仿宋_GB2312" w:hAnsi="仿宋_GB2312" w:eastAsia="仿宋_GB2312" w:cs="仿宋_GB2312"/>
          <w:b/>
          <w:color w:val="auto"/>
          <w:sz w:val="30"/>
          <w:szCs w:val="30"/>
          <w:highlight w:val="none"/>
        </w:rPr>
        <w:t>（一）确定体检</w:t>
      </w:r>
      <w:r>
        <w:rPr>
          <w:rFonts w:hint="eastAsia" w:ascii="仿宋_GB2312" w:hAnsi="仿宋_GB2312" w:eastAsia="仿宋_GB2312" w:cs="仿宋_GB2312"/>
          <w:b/>
          <w:color w:val="auto"/>
          <w:sz w:val="30"/>
          <w:szCs w:val="30"/>
          <w:highlight w:val="none"/>
          <w:lang w:eastAsia="zh-CN"/>
        </w:rPr>
        <w:t>人选</w:t>
      </w:r>
      <w:bookmarkEnd w:id="79"/>
      <w:bookmarkEnd w:id="80"/>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从笔试、面试成绩和综合总分均合格者中，根据综合总分排名顺序，按岗位拟招聘人数1:1的比例从高分至低分确定体检人选。</w:t>
      </w:r>
      <w:r>
        <w:rPr>
          <w:rFonts w:hint="eastAsia" w:ascii="仿宋_GB2312" w:hAnsi="仿宋_GB2312" w:eastAsia="仿宋_GB2312" w:cs="仿宋_GB2312"/>
          <w:color w:val="auto"/>
          <w:sz w:val="30"/>
          <w:szCs w:val="30"/>
          <w:highlight w:val="none"/>
          <w:lang w:val="en-US" w:eastAsia="zh-CN"/>
        </w:rPr>
        <w:t xml:space="preserve"> </w:t>
      </w:r>
    </w:p>
    <w:p>
      <w:pPr>
        <w:keepNext w:val="0"/>
        <w:keepLines w:val="0"/>
        <w:pageBreakBefore w:val="0"/>
        <w:kinsoku/>
        <w:wordWrap/>
        <w:overflowPunct/>
        <w:topLinePunct w:val="0"/>
        <w:autoSpaceDE/>
        <w:autoSpaceDN/>
        <w:bidi w:val="0"/>
        <w:spacing w:line="360" w:lineRule="auto"/>
        <w:ind w:firstLine="602" w:firstLineChars="200"/>
        <w:textAlignment w:val="auto"/>
        <w:outlineLvl w:val="1"/>
        <w:rPr>
          <w:rFonts w:hint="eastAsia" w:ascii="仿宋_GB2312" w:hAnsi="仿宋_GB2312" w:eastAsia="仿宋_GB2312" w:cs="仿宋_GB2312"/>
          <w:b/>
          <w:color w:val="auto"/>
          <w:sz w:val="30"/>
          <w:szCs w:val="30"/>
          <w:highlight w:val="none"/>
        </w:rPr>
      </w:pPr>
      <w:bookmarkStart w:id="81" w:name="_Toc9651"/>
      <w:bookmarkStart w:id="82" w:name="_Toc4560"/>
      <w:r>
        <w:rPr>
          <w:rFonts w:hint="eastAsia" w:ascii="仿宋_GB2312" w:hAnsi="仿宋_GB2312" w:eastAsia="仿宋_GB2312" w:cs="仿宋_GB2312"/>
          <w:b/>
          <w:color w:val="auto"/>
          <w:sz w:val="30"/>
          <w:szCs w:val="30"/>
          <w:highlight w:val="none"/>
        </w:rPr>
        <w:t>（二）组织体检</w:t>
      </w:r>
      <w:bookmarkEnd w:id="81"/>
      <w:bookmarkEnd w:id="82"/>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体检由</w:t>
      </w:r>
      <w:r>
        <w:rPr>
          <w:rFonts w:hint="eastAsia" w:ascii="仿宋_GB2312" w:hAnsi="仿宋_GB2312" w:eastAsia="仿宋_GB2312" w:cs="仿宋_GB2312"/>
          <w:color w:val="auto"/>
          <w:sz w:val="30"/>
          <w:szCs w:val="30"/>
          <w:highlight w:val="none"/>
          <w:lang w:val="en-US" w:eastAsia="zh-Hans"/>
        </w:rPr>
        <w:t>区人社局</w:t>
      </w:r>
      <w:r>
        <w:rPr>
          <w:rFonts w:hint="eastAsia" w:ascii="仿宋_GB2312" w:hAnsi="仿宋_GB2312" w:eastAsia="仿宋_GB2312" w:cs="仿宋_GB2312"/>
          <w:color w:val="auto"/>
          <w:sz w:val="30"/>
          <w:szCs w:val="30"/>
          <w:highlight w:val="none"/>
        </w:rPr>
        <w:t>负责组织实施。体检人员应根据通知按时参加并配合体检，否则，视为放弃资格。</w:t>
      </w:r>
    </w:p>
    <w:p>
      <w:pPr>
        <w:keepNext w:val="0"/>
        <w:keepLines w:val="0"/>
        <w:pageBreakBefore w:val="0"/>
        <w:kinsoku/>
        <w:wordWrap/>
        <w:overflowPunct/>
        <w:topLinePunct w:val="0"/>
        <w:autoSpaceDE/>
        <w:autoSpaceDN/>
        <w:bidi w:val="0"/>
        <w:spacing w:line="360" w:lineRule="auto"/>
        <w:ind w:firstLine="602" w:firstLineChars="200"/>
        <w:textAlignment w:val="auto"/>
        <w:outlineLvl w:val="1"/>
        <w:rPr>
          <w:rFonts w:hint="eastAsia" w:ascii="仿宋_GB2312" w:hAnsi="仿宋_GB2312" w:eastAsia="仿宋_GB2312" w:cs="仿宋_GB2312"/>
          <w:b/>
          <w:color w:val="auto"/>
          <w:sz w:val="30"/>
          <w:szCs w:val="30"/>
          <w:highlight w:val="none"/>
        </w:rPr>
      </w:pPr>
      <w:bookmarkStart w:id="83" w:name="_Toc13250"/>
      <w:bookmarkStart w:id="84" w:name="_Toc15396"/>
      <w:r>
        <w:rPr>
          <w:rFonts w:hint="eastAsia" w:ascii="仿宋_GB2312" w:hAnsi="仿宋_GB2312" w:eastAsia="仿宋_GB2312" w:cs="仿宋_GB2312"/>
          <w:b/>
          <w:color w:val="auto"/>
          <w:sz w:val="30"/>
          <w:szCs w:val="30"/>
          <w:highlight w:val="none"/>
        </w:rPr>
        <w:t>（三）体检依据</w:t>
      </w:r>
      <w:bookmarkEnd w:id="83"/>
      <w:bookmarkEnd w:id="84"/>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本次招聘体检参照《公务员录用体检通用标准（试行）》和《公务员录用体检操作手册（试行）》和《关于修订〈公务员录用体检通用标准（试行）〉及〈公务员录用体检操作手册（试行）〉的通知》（人社部发〔2016〕140号）等文件的要求,特殊行业或岗位有相应体检标准可另行要求。具体检测方法由体检医院结合实际确定</w:t>
      </w:r>
      <w:r>
        <w:rPr>
          <w:rFonts w:hint="eastAsia" w:ascii="仿宋_GB2312" w:hAnsi="仿宋_GB2312" w:eastAsia="仿宋_GB2312" w:cs="仿宋_GB2312"/>
          <w:color w:val="auto"/>
          <w:sz w:val="30"/>
          <w:szCs w:val="30"/>
          <w:highlight w:val="none"/>
          <w:lang w:eastAsia="zh-CN"/>
        </w:rPr>
        <w:t>，体检结论以体检医院出具的体检报告为准</w:t>
      </w:r>
      <w:r>
        <w:rPr>
          <w:rFonts w:hint="eastAsia" w:ascii="仿宋_GB2312" w:hAnsi="仿宋_GB2312" w:eastAsia="仿宋_GB2312" w:cs="仿宋_GB2312"/>
          <w:color w:val="auto"/>
          <w:sz w:val="30"/>
          <w:szCs w:val="30"/>
          <w:highlight w:val="none"/>
        </w:rPr>
        <w:t>。</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体</w:t>
      </w:r>
      <w:r>
        <w:rPr>
          <w:rFonts w:hint="eastAsia" w:ascii="仿宋_GB2312" w:hAnsi="仿宋_GB2312" w:eastAsia="仿宋_GB2312" w:cs="仿宋_GB2312"/>
          <w:color w:val="auto"/>
          <w:sz w:val="30"/>
          <w:szCs w:val="30"/>
          <w:highlight w:val="none"/>
          <w:lang w:eastAsia="zh-CN"/>
        </w:rPr>
        <w:t>（复）</w:t>
      </w:r>
      <w:r>
        <w:rPr>
          <w:rFonts w:hint="eastAsia" w:ascii="仿宋_GB2312" w:hAnsi="仿宋_GB2312" w:eastAsia="仿宋_GB2312" w:cs="仿宋_GB2312"/>
          <w:color w:val="auto"/>
          <w:sz w:val="30"/>
          <w:szCs w:val="30"/>
          <w:highlight w:val="none"/>
        </w:rPr>
        <w:t>检费用个人自理。</w:t>
      </w:r>
      <w:r>
        <w:rPr>
          <w:rFonts w:hint="eastAsia" w:ascii="仿宋_GB2312" w:hAnsi="仿宋_GB2312" w:eastAsia="仿宋_GB2312" w:cs="仿宋_GB2312"/>
          <w:color w:val="auto"/>
          <w:sz w:val="30"/>
          <w:szCs w:val="30"/>
          <w:highlight w:val="none"/>
          <w:lang w:eastAsia="zh-CN"/>
        </w:rPr>
        <w:t>凡在体检中弄虚作假或隐瞒真实情况的报考者，不予聘用或取消聘用。</w:t>
      </w:r>
    </w:p>
    <w:p>
      <w:pPr>
        <w:keepNext w:val="0"/>
        <w:keepLines w:val="0"/>
        <w:pageBreakBefore w:val="0"/>
        <w:kinsoku/>
        <w:wordWrap/>
        <w:overflowPunct/>
        <w:topLinePunct w:val="0"/>
        <w:autoSpaceDE/>
        <w:autoSpaceDN/>
        <w:bidi w:val="0"/>
        <w:spacing w:line="360" w:lineRule="auto"/>
        <w:ind w:firstLine="602" w:firstLineChars="200"/>
        <w:textAlignment w:val="auto"/>
        <w:outlineLvl w:val="1"/>
        <w:rPr>
          <w:rFonts w:hint="eastAsia" w:ascii="仿宋_GB2312" w:hAnsi="仿宋_GB2312" w:eastAsia="仿宋_GB2312" w:cs="仿宋_GB2312"/>
          <w:b/>
          <w:color w:val="auto"/>
          <w:sz w:val="30"/>
          <w:szCs w:val="30"/>
          <w:highlight w:val="none"/>
        </w:rPr>
      </w:pPr>
      <w:bookmarkStart w:id="85" w:name="_Toc5916"/>
      <w:bookmarkStart w:id="86" w:name="_Toc1261"/>
      <w:r>
        <w:rPr>
          <w:rFonts w:hint="eastAsia" w:ascii="仿宋_GB2312" w:hAnsi="仿宋_GB2312" w:eastAsia="仿宋_GB2312" w:cs="仿宋_GB2312"/>
          <w:b/>
          <w:color w:val="auto"/>
          <w:sz w:val="30"/>
          <w:szCs w:val="30"/>
          <w:highlight w:val="none"/>
        </w:rPr>
        <w:t>（四）体检复检</w:t>
      </w:r>
      <w:bookmarkEnd w:id="85"/>
      <w:bookmarkEnd w:id="86"/>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复检参照人力资源社会保障部、卫生部、国家公务员《关于进一步做好公务员考试录用体检工作的通知》(人社部发〔2012〕65号)的有关规定执行，其中：</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 对心率、视力、听力、血压等项目达不到体检合格标准的，安排</w:t>
      </w:r>
      <w:r>
        <w:rPr>
          <w:rFonts w:hint="eastAsia" w:ascii="仿宋_GB2312" w:hAnsi="仿宋_GB2312" w:eastAsia="仿宋_GB2312" w:cs="仿宋_GB2312"/>
          <w:b/>
          <w:bCs/>
          <w:color w:val="auto"/>
          <w:sz w:val="30"/>
          <w:szCs w:val="30"/>
          <w:highlight w:val="none"/>
        </w:rPr>
        <w:t>当日复检</w:t>
      </w:r>
      <w:r>
        <w:rPr>
          <w:rFonts w:hint="eastAsia" w:ascii="仿宋_GB2312" w:hAnsi="仿宋_GB2312" w:eastAsia="仿宋_GB2312" w:cs="仿宋_GB2312"/>
          <w:color w:val="auto"/>
          <w:sz w:val="30"/>
          <w:szCs w:val="30"/>
          <w:highlight w:val="none"/>
        </w:rPr>
        <w:t>；对边缘性心脏杂音、病理性心电图、病理性杂音、频发早搏（心电图证实）等项目达不到体检合格标准的，安排</w:t>
      </w:r>
      <w:r>
        <w:rPr>
          <w:rFonts w:hint="eastAsia" w:ascii="仿宋_GB2312" w:hAnsi="仿宋_GB2312" w:eastAsia="仿宋_GB2312" w:cs="仿宋_GB2312"/>
          <w:b/>
          <w:bCs/>
          <w:color w:val="auto"/>
          <w:sz w:val="30"/>
          <w:szCs w:val="30"/>
          <w:highlight w:val="none"/>
        </w:rPr>
        <w:t>当场复检</w:t>
      </w:r>
      <w:r>
        <w:rPr>
          <w:rFonts w:hint="eastAsia" w:ascii="仿宋_GB2312" w:hAnsi="仿宋_GB2312" w:eastAsia="仿宋_GB2312" w:cs="仿宋_GB2312"/>
          <w:color w:val="auto"/>
          <w:sz w:val="30"/>
          <w:szCs w:val="30"/>
          <w:highlight w:val="none"/>
        </w:rPr>
        <w:t>。</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2.考生</w:t>
      </w:r>
      <w:r>
        <w:rPr>
          <w:rFonts w:hint="eastAsia" w:ascii="仿宋_GB2312" w:hAnsi="仿宋_GB2312" w:eastAsia="仿宋_GB2312" w:cs="仿宋_GB2312"/>
          <w:b/>
          <w:bCs/>
          <w:color w:val="auto"/>
          <w:sz w:val="30"/>
          <w:szCs w:val="30"/>
          <w:highlight w:val="none"/>
        </w:rPr>
        <w:t>对非当日</w:t>
      </w:r>
      <w:r>
        <w:rPr>
          <w:rFonts w:hint="eastAsia" w:ascii="仿宋_GB2312" w:hAnsi="仿宋_GB2312" w:eastAsia="仿宋_GB2312" w:cs="仿宋_GB2312"/>
          <w:b/>
          <w:bCs/>
          <w:color w:val="auto"/>
          <w:sz w:val="30"/>
          <w:szCs w:val="30"/>
          <w:highlight w:val="none"/>
          <w:lang w:eastAsia="zh-CN"/>
        </w:rPr>
        <w:t>或</w:t>
      </w:r>
      <w:r>
        <w:rPr>
          <w:rFonts w:hint="eastAsia" w:ascii="仿宋_GB2312" w:hAnsi="仿宋_GB2312" w:eastAsia="仿宋_GB2312" w:cs="仿宋_GB2312"/>
          <w:b/>
          <w:bCs/>
          <w:color w:val="auto"/>
          <w:sz w:val="30"/>
          <w:szCs w:val="30"/>
          <w:highlight w:val="none"/>
        </w:rPr>
        <w:t>非当场复检的体检项目结果有疑问时</w:t>
      </w:r>
      <w:r>
        <w:rPr>
          <w:rFonts w:hint="eastAsia" w:ascii="仿宋_GB2312" w:hAnsi="仿宋_GB2312" w:eastAsia="仿宋_GB2312" w:cs="仿宋_GB2312"/>
          <w:color w:val="auto"/>
          <w:sz w:val="30"/>
          <w:szCs w:val="30"/>
          <w:highlight w:val="none"/>
        </w:rPr>
        <w:t>，可以在接到体检结论的7日内，向组织体检单位提交复检申请。</w:t>
      </w:r>
      <w:r>
        <w:rPr>
          <w:rFonts w:hint="eastAsia" w:ascii="仿宋_GB2312" w:hAnsi="仿宋_GB2312" w:eastAsia="仿宋_GB2312" w:cs="仿宋_GB2312"/>
          <w:color w:val="auto"/>
          <w:sz w:val="30"/>
          <w:szCs w:val="30"/>
          <w:highlight w:val="none"/>
          <w:lang w:eastAsia="zh-CN"/>
        </w:rPr>
        <w:t>组织体检的单位</w:t>
      </w:r>
      <w:r>
        <w:rPr>
          <w:rFonts w:hint="eastAsia" w:ascii="仿宋_GB2312" w:hAnsi="仿宋_GB2312" w:eastAsia="仿宋_GB2312" w:cs="仿宋_GB2312"/>
          <w:color w:val="auto"/>
          <w:sz w:val="30"/>
          <w:szCs w:val="30"/>
          <w:highlight w:val="none"/>
        </w:rPr>
        <w:t>另行指定医院复检</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复检时不得告知</w:t>
      </w:r>
      <w:r>
        <w:rPr>
          <w:rFonts w:hint="eastAsia" w:ascii="仿宋_GB2312" w:hAnsi="仿宋_GB2312" w:eastAsia="仿宋_GB2312" w:cs="仿宋_GB2312"/>
          <w:color w:val="auto"/>
          <w:sz w:val="30"/>
          <w:szCs w:val="30"/>
          <w:highlight w:val="none"/>
          <w:lang w:eastAsia="zh-CN"/>
        </w:rPr>
        <w:t>复检</w:t>
      </w:r>
      <w:r>
        <w:rPr>
          <w:rFonts w:hint="eastAsia" w:ascii="仿宋_GB2312" w:hAnsi="仿宋_GB2312" w:eastAsia="仿宋_GB2312" w:cs="仿宋_GB2312"/>
          <w:color w:val="auto"/>
          <w:sz w:val="30"/>
          <w:szCs w:val="30"/>
          <w:highlight w:val="none"/>
        </w:rPr>
        <w:t>项目</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复检只能进行1次，体检结论以复检的结果为准。自行体检的结果无效</w:t>
      </w:r>
      <w:r>
        <w:rPr>
          <w:rFonts w:hint="eastAsia" w:ascii="仿宋_GB2312" w:hAnsi="仿宋_GB2312" w:eastAsia="仿宋_GB2312" w:cs="仿宋_GB2312"/>
          <w:color w:val="auto"/>
          <w:sz w:val="30"/>
          <w:szCs w:val="30"/>
          <w:highlight w:val="none"/>
          <w:lang w:eastAsia="zh-CN"/>
        </w:rPr>
        <w:t>。</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3.组织体检单位对体检结论有疑问的，在接到体检结论通知之日起7日内决定是否进行复检。</w:t>
      </w:r>
    </w:p>
    <w:p>
      <w:pPr>
        <w:keepNext w:val="0"/>
        <w:keepLines w:val="0"/>
        <w:pageBreakBefore w:val="0"/>
        <w:kinsoku/>
        <w:wordWrap/>
        <w:overflowPunct/>
        <w:topLinePunct w:val="0"/>
        <w:autoSpaceDE/>
        <w:autoSpaceDN/>
        <w:bidi w:val="0"/>
        <w:spacing w:line="360" w:lineRule="auto"/>
        <w:ind w:firstLine="602" w:firstLineChars="200"/>
        <w:textAlignment w:val="auto"/>
        <w:outlineLvl w:val="1"/>
        <w:rPr>
          <w:rFonts w:hint="eastAsia" w:ascii="仿宋_GB2312" w:hAnsi="仿宋_GB2312" w:eastAsia="仿宋_GB2312" w:cs="仿宋_GB2312"/>
          <w:b/>
          <w:color w:val="auto"/>
          <w:sz w:val="30"/>
          <w:szCs w:val="30"/>
          <w:highlight w:val="none"/>
        </w:rPr>
      </w:pPr>
      <w:bookmarkStart w:id="87" w:name="_Toc26348"/>
      <w:bookmarkStart w:id="88" w:name="_Toc16697"/>
      <w:r>
        <w:rPr>
          <w:rFonts w:hint="eastAsia" w:ascii="仿宋_GB2312" w:hAnsi="仿宋_GB2312" w:eastAsia="仿宋_GB2312" w:cs="仿宋_GB2312"/>
          <w:b/>
          <w:color w:val="auto"/>
          <w:sz w:val="30"/>
          <w:szCs w:val="30"/>
          <w:highlight w:val="none"/>
        </w:rPr>
        <w:t>（五）可延迟体检的情形</w:t>
      </w:r>
      <w:bookmarkEnd w:id="87"/>
      <w:bookmarkEnd w:id="88"/>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女性报考者因怀孕、哺乳期需申请延期体检的，应提供相应的医学证明并与组织体检单位约定延缓体检的合理期限。</w:t>
      </w:r>
    </w:p>
    <w:p>
      <w:pPr>
        <w:keepNext w:val="0"/>
        <w:keepLines w:val="0"/>
        <w:pageBreakBefore w:val="0"/>
        <w:kinsoku/>
        <w:wordWrap/>
        <w:overflowPunct/>
        <w:topLinePunct w:val="0"/>
        <w:autoSpaceDE/>
        <w:autoSpaceDN/>
        <w:bidi w:val="0"/>
        <w:spacing w:line="360" w:lineRule="auto"/>
        <w:ind w:firstLine="602" w:firstLineChars="200"/>
        <w:textAlignment w:val="auto"/>
        <w:outlineLvl w:val="1"/>
        <w:rPr>
          <w:rFonts w:hint="eastAsia" w:ascii="仿宋_GB2312" w:hAnsi="仿宋_GB2312" w:eastAsia="仿宋_GB2312" w:cs="仿宋_GB2312"/>
          <w:b/>
          <w:color w:val="auto"/>
          <w:sz w:val="30"/>
          <w:szCs w:val="30"/>
          <w:highlight w:val="none"/>
        </w:rPr>
      </w:pPr>
      <w:bookmarkStart w:id="89" w:name="_Toc25233"/>
      <w:bookmarkStart w:id="90" w:name="_Toc16012"/>
      <w:r>
        <w:rPr>
          <w:rFonts w:hint="eastAsia" w:ascii="仿宋_GB2312" w:hAnsi="仿宋_GB2312" w:eastAsia="仿宋_GB2312" w:cs="仿宋_GB2312"/>
          <w:b/>
          <w:color w:val="auto"/>
          <w:sz w:val="30"/>
          <w:szCs w:val="30"/>
          <w:highlight w:val="none"/>
        </w:rPr>
        <w:t>（六）考察</w:t>
      </w:r>
      <w:bookmarkEnd w:id="89"/>
      <w:bookmarkEnd w:id="90"/>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对体检合格的报考人员，由招聘单位会同主管部门组织对其政治思想、道德品质、廉洁自律、能力素质、工作态度、学习及工作表现以及是否需要回避等内容进行考察，并对报考人员资格条件再次进行审核。 </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考察工作前，通过中国执行信息公开网（http://zxgk.court.gov.cn/）核实考察对象有无失信被执行的情况。</w:t>
      </w:r>
      <w:r>
        <w:rPr>
          <w:rFonts w:hint="eastAsia" w:ascii="仿宋_GB2312" w:hAnsi="仿宋_GB2312" w:eastAsia="仿宋_GB2312" w:cs="仿宋_GB2312"/>
          <w:color w:val="auto"/>
          <w:sz w:val="30"/>
          <w:szCs w:val="30"/>
          <w:highlight w:val="none"/>
          <w:lang w:val="en-US" w:eastAsia="zh-CN"/>
        </w:rPr>
        <w:t>被依法列为失信联合惩戒对象的，不得报考或或取消报考（聘用）资格。</w:t>
      </w:r>
    </w:p>
    <w:p>
      <w:pPr>
        <w:keepNext w:val="0"/>
        <w:keepLines w:val="0"/>
        <w:pageBreakBefore w:val="0"/>
        <w:numPr>
          <w:ilvl w:val="0"/>
          <w:numId w:val="0"/>
        </w:numPr>
        <w:kinsoku/>
        <w:wordWrap/>
        <w:overflowPunct/>
        <w:topLinePunct w:val="0"/>
        <w:autoSpaceDE/>
        <w:autoSpaceDN/>
        <w:bidi w:val="0"/>
        <w:spacing w:line="360" w:lineRule="auto"/>
        <w:textAlignment w:val="auto"/>
        <w:outlineLvl w:val="0"/>
        <w:rPr>
          <w:rFonts w:hint="eastAsia" w:ascii="黑体" w:hAnsi="黑体" w:eastAsia="黑体" w:cs="黑体"/>
          <w:b/>
          <w:bCs/>
          <w:color w:val="auto"/>
          <w:sz w:val="30"/>
          <w:szCs w:val="30"/>
          <w:highlight w:val="none"/>
        </w:rPr>
      </w:pPr>
      <w:r>
        <w:rPr>
          <w:rFonts w:hint="eastAsia" w:ascii="黑体" w:hAnsi="黑体" w:eastAsia="黑体" w:cs="黑体"/>
          <w:b/>
          <w:bCs/>
          <w:color w:val="auto"/>
          <w:sz w:val="30"/>
          <w:szCs w:val="30"/>
          <w:highlight w:val="none"/>
          <w:lang w:val="en-US" w:eastAsia="zh-CN"/>
        </w:rPr>
        <w:t xml:space="preserve">    </w:t>
      </w:r>
      <w:bookmarkStart w:id="91" w:name="_Toc25684"/>
      <w:bookmarkStart w:id="92" w:name="_Toc3418"/>
      <w:r>
        <w:rPr>
          <w:rFonts w:hint="eastAsia" w:ascii="黑体" w:hAnsi="黑体" w:eastAsia="黑体" w:cs="黑体"/>
          <w:b w:val="0"/>
          <w:bCs w:val="0"/>
          <w:color w:val="auto"/>
          <w:sz w:val="30"/>
          <w:szCs w:val="30"/>
          <w:highlight w:val="none"/>
          <w:lang w:eastAsia="zh-CN"/>
        </w:rPr>
        <w:t>十二、</w:t>
      </w:r>
      <w:r>
        <w:rPr>
          <w:rFonts w:hint="eastAsia" w:ascii="黑体" w:hAnsi="黑体" w:eastAsia="黑体" w:cs="黑体"/>
          <w:b w:val="0"/>
          <w:bCs w:val="0"/>
          <w:color w:val="auto"/>
          <w:sz w:val="30"/>
          <w:szCs w:val="30"/>
          <w:highlight w:val="none"/>
        </w:rPr>
        <w:t>公示</w:t>
      </w:r>
      <w:bookmarkEnd w:id="91"/>
      <w:bookmarkEnd w:id="92"/>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根据岗位要求以及考试、体检、考察结果，确定拟聘用人员名单，并在</w:t>
      </w:r>
      <w:r>
        <w:rPr>
          <w:rFonts w:hint="eastAsia" w:ascii="仿宋_GB2312" w:hAnsi="仿宋_GB2312" w:eastAsia="仿宋_GB2312" w:cs="仿宋_GB2312"/>
          <w:color w:val="auto"/>
          <w:sz w:val="30"/>
          <w:szCs w:val="30"/>
          <w:highlight w:val="none"/>
          <w:lang w:val="en-US" w:eastAsia="zh-Hans"/>
        </w:rPr>
        <w:t>集美区人民政府官方网站</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http://www.jimei.gov.cn/</w:t>
      </w:r>
      <w:r>
        <w:rPr>
          <w:rFonts w:hint="eastAsia" w:ascii="仿宋_GB2312" w:hAnsi="仿宋_GB2312" w:eastAsia="仿宋_GB2312" w:cs="仿宋_GB2312"/>
          <w:color w:val="auto"/>
          <w:sz w:val="30"/>
          <w:szCs w:val="30"/>
          <w:highlight w:val="none"/>
          <w:lang w:eastAsia="zh-CN"/>
        </w:rPr>
        <w:t>）通知公告栏</w:t>
      </w:r>
      <w:r>
        <w:rPr>
          <w:rFonts w:hint="eastAsia" w:ascii="仿宋_GB2312" w:hAnsi="仿宋_GB2312" w:eastAsia="仿宋_GB2312" w:cs="仿宋_GB2312"/>
          <w:color w:val="auto"/>
          <w:sz w:val="30"/>
          <w:szCs w:val="30"/>
          <w:highlight w:val="none"/>
        </w:rPr>
        <w:t>公示7个工作日。公示内容包括招聘单位名称、招聘岗位、拟聘人员基本信息等。</w:t>
      </w:r>
    </w:p>
    <w:p>
      <w:pPr>
        <w:keepNext w:val="0"/>
        <w:keepLines w:val="0"/>
        <w:pageBreakBefore w:val="0"/>
        <w:numPr>
          <w:ilvl w:val="0"/>
          <w:numId w:val="0"/>
        </w:numPr>
        <w:kinsoku/>
        <w:wordWrap/>
        <w:overflowPunct/>
        <w:topLinePunct w:val="0"/>
        <w:autoSpaceDE/>
        <w:autoSpaceDN/>
        <w:bidi w:val="0"/>
        <w:spacing w:line="360" w:lineRule="auto"/>
        <w:textAlignment w:val="auto"/>
        <w:outlineLvl w:val="0"/>
        <w:rPr>
          <w:rFonts w:hint="eastAsia" w:ascii="黑体" w:hAnsi="黑体" w:eastAsia="黑体" w:cs="黑体"/>
          <w:b/>
          <w:bCs/>
          <w:color w:val="auto"/>
          <w:sz w:val="30"/>
          <w:szCs w:val="30"/>
          <w:highlight w:val="none"/>
          <w:lang w:eastAsia="zh-CN"/>
        </w:rPr>
      </w:pPr>
      <w:r>
        <w:rPr>
          <w:rFonts w:hint="eastAsia" w:ascii="黑体" w:hAnsi="黑体" w:eastAsia="黑体" w:cs="黑体"/>
          <w:b/>
          <w:bCs/>
          <w:color w:val="auto"/>
          <w:sz w:val="30"/>
          <w:szCs w:val="30"/>
          <w:highlight w:val="none"/>
          <w:lang w:val="en-US" w:eastAsia="zh-CN"/>
        </w:rPr>
        <w:t xml:space="preserve">    </w:t>
      </w:r>
      <w:bookmarkStart w:id="93" w:name="_Toc7974"/>
      <w:bookmarkStart w:id="94" w:name="_Toc29774"/>
      <w:r>
        <w:rPr>
          <w:rFonts w:hint="eastAsia" w:ascii="黑体" w:hAnsi="黑体" w:eastAsia="黑体" w:cs="黑体"/>
          <w:b w:val="0"/>
          <w:bCs w:val="0"/>
          <w:color w:val="auto"/>
          <w:sz w:val="30"/>
          <w:szCs w:val="30"/>
          <w:highlight w:val="none"/>
          <w:lang w:eastAsia="zh-CN"/>
        </w:rPr>
        <w:t>十三、聘用办理</w:t>
      </w:r>
      <w:bookmarkEnd w:id="93"/>
      <w:bookmarkEnd w:id="94"/>
    </w:p>
    <w:p>
      <w:pPr>
        <w:keepNext w:val="0"/>
        <w:keepLines w:val="0"/>
        <w:pageBreakBefore w:val="0"/>
        <w:kinsoku/>
        <w:wordWrap/>
        <w:overflowPunct/>
        <w:topLinePunct w:val="0"/>
        <w:autoSpaceDE/>
        <w:autoSpaceDN/>
        <w:bidi w:val="0"/>
        <w:spacing w:line="360" w:lineRule="auto"/>
        <w:ind w:firstLine="602" w:firstLineChars="200"/>
        <w:textAlignment w:val="auto"/>
        <w:outlineLvl w:val="1"/>
        <w:rPr>
          <w:rFonts w:hint="eastAsia" w:ascii="仿宋_GB2312" w:hAnsi="仿宋_GB2312" w:eastAsia="仿宋_GB2312" w:cs="仿宋_GB2312"/>
          <w:b/>
          <w:color w:val="auto"/>
          <w:sz w:val="30"/>
          <w:szCs w:val="30"/>
          <w:highlight w:val="none"/>
        </w:rPr>
      </w:pPr>
      <w:bookmarkStart w:id="95" w:name="_Toc5071"/>
      <w:bookmarkStart w:id="96" w:name="_Toc3658"/>
      <w:r>
        <w:rPr>
          <w:rFonts w:hint="eastAsia" w:ascii="仿宋_GB2312" w:hAnsi="仿宋_GB2312" w:eastAsia="仿宋_GB2312" w:cs="仿宋_GB2312"/>
          <w:b/>
          <w:color w:val="auto"/>
          <w:sz w:val="30"/>
          <w:szCs w:val="30"/>
          <w:highlight w:val="none"/>
        </w:rPr>
        <w:t>（一）聘用手续办理</w:t>
      </w:r>
      <w:bookmarkEnd w:id="95"/>
      <w:bookmarkEnd w:id="96"/>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公示结果无异议，或经招聘单位会同主管部门核实不影响聘用的，拟聘人员应于公示期满后</w:t>
      </w:r>
      <w:r>
        <w:rPr>
          <w:rFonts w:hint="eastAsia" w:ascii="仿宋_GB2312" w:hAnsi="仿宋_GB2312" w:eastAsia="仿宋_GB2312" w:cs="仿宋_GB2312"/>
          <w:color w:val="auto"/>
          <w:sz w:val="30"/>
          <w:szCs w:val="30"/>
          <w:highlight w:val="none"/>
          <w:lang w:val="en-US" w:eastAsia="zh-CN"/>
        </w:rPr>
        <w:t>3</w:t>
      </w:r>
      <w:r>
        <w:rPr>
          <w:rFonts w:hint="eastAsia" w:ascii="仿宋_GB2312" w:hAnsi="仿宋_GB2312" w:eastAsia="仿宋_GB2312" w:cs="仿宋_GB2312"/>
          <w:color w:val="auto"/>
          <w:sz w:val="30"/>
          <w:szCs w:val="30"/>
          <w:highlight w:val="none"/>
        </w:rPr>
        <w:t>个月内提供办理聘用手续所需的材料（含个人人事档案），因情况确实特殊、无法在上述期限内提供完备资料的，与招聘单位及其主管部门协商同意并书面承诺后可适当延长材料提交时限（延长时限原则上不超过2个月），否则视为放弃聘用资格。</w:t>
      </w:r>
    </w:p>
    <w:p>
      <w:pPr>
        <w:keepNext w:val="0"/>
        <w:keepLines w:val="0"/>
        <w:pageBreakBefore w:val="0"/>
        <w:kinsoku/>
        <w:wordWrap/>
        <w:overflowPunct/>
        <w:topLinePunct w:val="0"/>
        <w:autoSpaceDE/>
        <w:autoSpaceDN/>
        <w:bidi w:val="0"/>
        <w:spacing w:line="360" w:lineRule="auto"/>
        <w:ind w:firstLine="602" w:firstLineChars="200"/>
        <w:textAlignment w:val="auto"/>
        <w:outlineLvl w:val="1"/>
        <w:rPr>
          <w:rFonts w:hint="eastAsia" w:ascii="仿宋_GB2312" w:hAnsi="仿宋_GB2312" w:eastAsia="仿宋_GB2312" w:cs="仿宋_GB2312"/>
          <w:b/>
          <w:color w:val="auto"/>
          <w:sz w:val="30"/>
          <w:szCs w:val="30"/>
          <w:highlight w:val="none"/>
        </w:rPr>
      </w:pPr>
      <w:bookmarkStart w:id="97" w:name="_Toc22053"/>
      <w:bookmarkStart w:id="98" w:name="_Toc14591"/>
      <w:r>
        <w:rPr>
          <w:rFonts w:hint="eastAsia" w:ascii="仿宋_GB2312" w:hAnsi="仿宋_GB2312" w:eastAsia="仿宋_GB2312" w:cs="仿宋_GB2312"/>
          <w:b/>
          <w:color w:val="auto"/>
          <w:sz w:val="30"/>
          <w:szCs w:val="30"/>
          <w:highlight w:val="none"/>
        </w:rPr>
        <w:t>（二）岗位聘任</w:t>
      </w:r>
      <w:bookmarkEnd w:id="97"/>
      <w:bookmarkEnd w:id="98"/>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拟聘人员办理就业手续后，招聘单位应依据《事业单位人事管理条例》《厦门市事业单位聘用制暂行规定》与拟聘人员签订《聘用合同》。聘用人员的人员身份及工龄、工资、养老保险等待遇由招聘单位查阅其人事档案后，按照厦门市有关规定认定。 </w:t>
      </w:r>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招聘单位对拟聘人员的聘用须按照事业单位岗位设置管理规定</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按本单位发布的招聘岗位类别和级别进行聘任。如招聘单位的拟聘岗位数量不足或拟聘人员不具备相应岗位聘任资格条件的，可实行高职低聘。</w:t>
      </w:r>
    </w:p>
    <w:p>
      <w:pPr>
        <w:keepNext w:val="0"/>
        <w:keepLines w:val="0"/>
        <w:pageBreakBefore w:val="0"/>
        <w:numPr>
          <w:ilvl w:val="0"/>
          <w:numId w:val="0"/>
        </w:numPr>
        <w:kinsoku/>
        <w:wordWrap/>
        <w:overflowPunct/>
        <w:topLinePunct w:val="0"/>
        <w:autoSpaceDE/>
        <w:autoSpaceDN/>
        <w:bidi w:val="0"/>
        <w:spacing w:line="360" w:lineRule="auto"/>
        <w:textAlignment w:val="auto"/>
        <w:outlineLvl w:val="0"/>
        <w:rPr>
          <w:rFonts w:hint="eastAsia" w:ascii="黑体" w:hAnsi="黑体" w:eastAsia="黑体" w:cs="黑体"/>
          <w:b/>
          <w:bCs/>
          <w:color w:val="auto"/>
          <w:sz w:val="30"/>
          <w:szCs w:val="30"/>
          <w:highlight w:val="none"/>
        </w:rPr>
      </w:pPr>
      <w:r>
        <w:rPr>
          <w:rFonts w:hint="eastAsia" w:ascii="黑体" w:hAnsi="黑体" w:eastAsia="黑体" w:cs="黑体"/>
          <w:b/>
          <w:bCs/>
          <w:color w:val="auto"/>
          <w:sz w:val="30"/>
          <w:szCs w:val="30"/>
          <w:highlight w:val="none"/>
          <w:lang w:val="en-US" w:eastAsia="zh-CN"/>
        </w:rPr>
        <w:t xml:space="preserve">    </w:t>
      </w:r>
      <w:bookmarkStart w:id="99" w:name="_Toc16164"/>
      <w:bookmarkStart w:id="100" w:name="_Toc24403"/>
      <w:r>
        <w:rPr>
          <w:rFonts w:hint="eastAsia" w:ascii="黑体" w:hAnsi="黑体" w:eastAsia="黑体" w:cs="黑体"/>
          <w:b w:val="0"/>
          <w:bCs w:val="0"/>
          <w:color w:val="auto"/>
          <w:sz w:val="30"/>
          <w:szCs w:val="30"/>
          <w:highlight w:val="none"/>
          <w:lang w:eastAsia="zh-CN"/>
        </w:rPr>
        <w:t>十四、</w:t>
      </w:r>
      <w:r>
        <w:rPr>
          <w:rFonts w:hint="eastAsia" w:ascii="黑体" w:hAnsi="黑体" w:eastAsia="黑体" w:cs="黑体"/>
          <w:b w:val="0"/>
          <w:bCs w:val="0"/>
          <w:color w:val="auto"/>
          <w:sz w:val="30"/>
          <w:szCs w:val="30"/>
          <w:highlight w:val="none"/>
        </w:rPr>
        <w:t>其他</w:t>
      </w:r>
      <w:r>
        <w:rPr>
          <w:rFonts w:hint="eastAsia" w:ascii="黑体" w:hAnsi="黑体" w:eastAsia="黑体" w:cs="黑体"/>
          <w:b w:val="0"/>
          <w:bCs w:val="0"/>
          <w:color w:val="auto"/>
          <w:sz w:val="30"/>
          <w:szCs w:val="30"/>
          <w:highlight w:val="none"/>
          <w:lang w:eastAsia="zh-CN"/>
        </w:rPr>
        <w:t>需说明</w:t>
      </w:r>
      <w:r>
        <w:rPr>
          <w:rFonts w:hint="eastAsia" w:ascii="黑体" w:hAnsi="黑体" w:eastAsia="黑体" w:cs="黑体"/>
          <w:b w:val="0"/>
          <w:bCs w:val="0"/>
          <w:color w:val="auto"/>
          <w:sz w:val="30"/>
          <w:szCs w:val="30"/>
          <w:highlight w:val="none"/>
        </w:rPr>
        <w:t>事项</w:t>
      </w:r>
      <w:bookmarkEnd w:id="99"/>
      <w:bookmarkEnd w:id="10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textAlignment w:val="auto"/>
        <w:outlineLvl w:val="1"/>
        <w:rPr>
          <w:rFonts w:hint="eastAsia" w:ascii="仿宋_GB2312" w:hAnsi="仿宋_GB2312" w:eastAsia="仿宋_GB2312" w:cs="仿宋_GB2312"/>
          <w:b/>
          <w:color w:val="auto"/>
          <w:sz w:val="30"/>
          <w:szCs w:val="30"/>
          <w:highlight w:val="none"/>
        </w:rPr>
      </w:pPr>
      <w:bookmarkStart w:id="101" w:name="_Toc338"/>
      <w:bookmarkStart w:id="102" w:name="_Toc1964"/>
      <w:r>
        <w:rPr>
          <w:rFonts w:hint="eastAsia" w:ascii="仿宋_GB2312" w:hAnsi="仿宋_GB2312" w:eastAsia="仿宋_GB2312" w:cs="仿宋_GB2312"/>
          <w:b/>
          <w:bCs w:val="0"/>
          <w:color w:val="auto"/>
          <w:sz w:val="30"/>
          <w:szCs w:val="30"/>
          <w:highlight w:val="none"/>
          <w:lang w:eastAsia="zh-CN"/>
        </w:rPr>
        <w:t>（一）</w:t>
      </w:r>
      <w:r>
        <w:rPr>
          <w:rFonts w:hint="eastAsia" w:ascii="仿宋_GB2312" w:hAnsi="仿宋_GB2312" w:eastAsia="仿宋_GB2312" w:cs="仿宋_GB2312"/>
          <w:b/>
          <w:color w:val="auto"/>
          <w:sz w:val="30"/>
          <w:szCs w:val="30"/>
          <w:highlight w:val="none"/>
        </w:rPr>
        <w:t>全日制普通教育</w:t>
      </w:r>
      <w:r>
        <w:rPr>
          <w:rFonts w:hint="eastAsia" w:ascii="仿宋_GB2312" w:hAnsi="仿宋_GB2312" w:eastAsia="仿宋_GB2312" w:cs="仿宋_GB2312"/>
          <w:b/>
          <w:color w:val="auto"/>
          <w:sz w:val="30"/>
          <w:szCs w:val="30"/>
          <w:highlight w:val="none"/>
          <w:lang w:eastAsia="zh-CN"/>
        </w:rPr>
        <w:t>学历</w:t>
      </w:r>
      <w:bookmarkEnd w:id="101"/>
      <w:bookmarkEnd w:id="102"/>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trike w:val="0"/>
          <w:dstrike w:val="0"/>
          <w:color w:val="auto"/>
          <w:sz w:val="30"/>
          <w:szCs w:val="30"/>
          <w:highlight w:val="none"/>
        </w:rPr>
      </w:pPr>
      <w:r>
        <w:rPr>
          <w:rFonts w:hint="eastAsia" w:ascii="仿宋_GB2312" w:hAnsi="仿宋_GB2312" w:eastAsia="仿宋_GB2312" w:cs="仿宋_GB2312"/>
          <w:strike w:val="0"/>
          <w:dstrike w:val="0"/>
          <w:color w:val="auto"/>
          <w:sz w:val="30"/>
          <w:szCs w:val="30"/>
          <w:highlight w:val="none"/>
        </w:rPr>
        <w:t>全日制普通教育学历是指经教育部门批准的具有普通高等、中等教育招生资格的高等、中等院校或科研院所、执行普通高等、中等教育统一招生计划、通过统一招生考试录取的、</w:t>
      </w:r>
      <w:r>
        <w:rPr>
          <w:rFonts w:hint="eastAsia" w:ascii="仿宋_GB2312" w:hAnsi="仿宋_GB2312" w:eastAsia="仿宋_GB2312" w:cs="仿宋_GB2312"/>
          <w:strike w:val="0"/>
          <w:dstrike w:val="0"/>
          <w:color w:val="auto"/>
          <w:sz w:val="30"/>
          <w:szCs w:val="30"/>
          <w:highlight w:val="none"/>
          <w:u w:val="none"/>
          <w:lang w:eastAsia="zh-CN"/>
        </w:rPr>
        <w:t>入学时将档案关系转到就读学校、</w:t>
      </w:r>
      <w:r>
        <w:rPr>
          <w:rFonts w:hint="eastAsia" w:ascii="仿宋_GB2312" w:hAnsi="仿宋_GB2312" w:eastAsia="仿宋_GB2312" w:cs="仿宋_GB2312"/>
          <w:strike w:val="0"/>
          <w:dstrike w:val="0"/>
          <w:color w:val="auto"/>
          <w:sz w:val="30"/>
          <w:szCs w:val="30"/>
          <w:highlight w:val="none"/>
        </w:rPr>
        <w:t>按教学计划完成该学业、取得国家承认的学历。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textAlignment w:val="auto"/>
        <w:outlineLvl w:val="1"/>
        <w:rPr>
          <w:rFonts w:hint="eastAsia" w:ascii="仿宋_GB2312" w:hAnsi="仿宋_GB2312" w:eastAsia="仿宋_GB2312" w:cs="仿宋_GB2312"/>
          <w:b/>
          <w:color w:val="auto"/>
          <w:sz w:val="30"/>
          <w:szCs w:val="30"/>
          <w:highlight w:val="none"/>
        </w:rPr>
      </w:pPr>
      <w:bookmarkStart w:id="103" w:name="_Toc23479"/>
      <w:bookmarkStart w:id="104" w:name="_Toc20630"/>
      <w:r>
        <w:rPr>
          <w:rFonts w:hint="eastAsia" w:ascii="仿宋_GB2312" w:hAnsi="仿宋_GB2312" w:eastAsia="仿宋_GB2312" w:cs="仿宋_GB2312"/>
          <w:b/>
          <w:bCs w:val="0"/>
          <w:color w:val="auto"/>
          <w:sz w:val="30"/>
          <w:szCs w:val="30"/>
          <w:highlight w:val="none"/>
          <w:lang w:eastAsia="zh-CN"/>
        </w:rPr>
        <w:t>（二）</w:t>
      </w:r>
      <w:r>
        <w:rPr>
          <w:rFonts w:hint="eastAsia" w:ascii="仿宋_GB2312" w:hAnsi="仿宋_GB2312" w:eastAsia="仿宋_GB2312" w:cs="仿宋_GB2312"/>
          <w:b/>
          <w:color w:val="auto"/>
          <w:sz w:val="30"/>
          <w:szCs w:val="30"/>
          <w:highlight w:val="none"/>
        </w:rPr>
        <w:t>职称</w:t>
      </w:r>
      <w:bookmarkEnd w:id="103"/>
      <w:r>
        <w:rPr>
          <w:rFonts w:hint="eastAsia" w:ascii="仿宋_GB2312" w:hAnsi="仿宋_GB2312" w:eastAsia="仿宋_GB2312" w:cs="仿宋_GB2312"/>
          <w:b/>
          <w:color w:val="auto"/>
          <w:sz w:val="30"/>
          <w:szCs w:val="30"/>
          <w:highlight w:val="none"/>
          <w:lang w:eastAsia="zh-Hans"/>
        </w:rPr>
        <w:t>（</w:t>
      </w:r>
      <w:r>
        <w:rPr>
          <w:rFonts w:hint="eastAsia" w:ascii="仿宋_GB2312" w:hAnsi="仿宋_GB2312" w:eastAsia="仿宋_GB2312" w:cs="仿宋_GB2312"/>
          <w:b/>
          <w:color w:val="auto"/>
          <w:sz w:val="30"/>
          <w:szCs w:val="30"/>
          <w:highlight w:val="none"/>
          <w:lang w:val="en-US" w:eastAsia="zh-Hans"/>
        </w:rPr>
        <w:t>专业技术职务任职资格</w:t>
      </w:r>
      <w:r>
        <w:rPr>
          <w:rFonts w:hint="eastAsia" w:ascii="仿宋_GB2312" w:hAnsi="仿宋_GB2312" w:eastAsia="仿宋_GB2312" w:cs="仿宋_GB2312"/>
          <w:b/>
          <w:color w:val="auto"/>
          <w:sz w:val="30"/>
          <w:szCs w:val="30"/>
          <w:highlight w:val="none"/>
          <w:lang w:eastAsia="zh-Hans"/>
        </w:rPr>
        <w:t>）</w:t>
      </w:r>
      <w:bookmarkEnd w:id="104"/>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岗位资格条件要求的职称是指经社会化评审</w:t>
      </w:r>
      <w:r>
        <w:rPr>
          <w:rFonts w:hint="eastAsia" w:ascii="仿宋_GB2312" w:hAnsi="仿宋_GB2312" w:eastAsia="仿宋_GB2312" w:cs="仿宋_GB2312"/>
          <w:color w:val="auto"/>
          <w:sz w:val="30"/>
          <w:szCs w:val="30"/>
          <w:highlight w:val="none"/>
          <w:lang w:eastAsia="zh-CN"/>
        </w:rPr>
        <w:t>、全国统一</w:t>
      </w:r>
      <w:r>
        <w:rPr>
          <w:rFonts w:hint="eastAsia" w:ascii="仿宋_GB2312" w:hAnsi="仿宋_GB2312" w:eastAsia="仿宋_GB2312" w:cs="仿宋_GB2312"/>
          <w:color w:val="auto"/>
          <w:sz w:val="30"/>
          <w:szCs w:val="30"/>
          <w:highlight w:val="none"/>
        </w:rPr>
        <w:t>考试</w:t>
      </w:r>
      <w:r>
        <w:rPr>
          <w:rFonts w:hint="eastAsia" w:ascii="仿宋_GB2312" w:hAnsi="仿宋_GB2312" w:eastAsia="仿宋_GB2312" w:cs="仿宋_GB2312"/>
          <w:color w:val="auto"/>
          <w:sz w:val="30"/>
          <w:szCs w:val="30"/>
          <w:highlight w:val="none"/>
          <w:lang w:eastAsia="zh-CN"/>
        </w:rPr>
        <w:t>或考核确认</w:t>
      </w:r>
      <w:r>
        <w:rPr>
          <w:rFonts w:hint="eastAsia" w:ascii="仿宋_GB2312" w:hAnsi="仿宋_GB2312" w:eastAsia="仿宋_GB2312" w:cs="仿宋_GB2312"/>
          <w:color w:val="auto"/>
          <w:sz w:val="30"/>
          <w:szCs w:val="30"/>
          <w:highlight w:val="none"/>
        </w:rPr>
        <w:t>等方式取得的</w:t>
      </w:r>
      <w:r>
        <w:rPr>
          <w:rFonts w:hint="eastAsia" w:ascii="仿宋_GB2312" w:hAnsi="仿宋_GB2312" w:eastAsia="仿宋_GB2312" w:cs="仿宋_GB2312"/>
          <w:color w:val="auto"/>
          <w:sz w:val="30"/>
          <w:szCs w:val="30"/>
          <w:highlight w:val="none"/>
          <w:lang w:eastAsia="zh-CN"/>
        </w:rPr>
        <w:t>专业技术职务任职资格</w:t>
      </w:r>
      <w:r>
        <w:rPr>
          <w:rFonts w:hint="eastAsia" w:ascii="仿宋_GB2312" w:hAnsi="仿宋_GB2312" w:eastAsia="仿宋_GB2312" w:cs="仿宋_GB2312"/>
          <w:color w:val="auto"/>
          <w:sz w:val="30"/>
          <w:szCs w:val="30"/>
          <w:highlight w:val="none"/>
        </w:rPr>
        <w:t>，不含通过非公有制企业职称评审</w:t>
      </w:r>
      <w:r>
        <w:rPr>
          <w:rFonts w:hint="eastAsia" w:ascii="仿宋_GB2312" w:hAnsi="仿宋_GB2312" w:eastAsia="仿宋_GB2312" w:cs="仿宋_GB2312"/>
          <w:color w:val="auto"/>
          <w:sz w:val="30"/>
          <w:szCs w:val="30"/>
          <w:highlight w:val="none"/>
          <w:lang w:eastAsia="zh-CN"/>
        </w:rPr>
        <w:t>方式</w:t>
      </w:r>
      <w:r>
        <w:rPr>
          <w:rFonts w:hint="eastAsia" w:ascii="仿宋_GB2312" w:hAnsi="仿宋_GB2312" w:eastAsia="仿宋_GB2312" w:cs="仿宋_GB2312"/>
          <w:color w:val="auto"/>
          <w:sz w:val="30"/>
          <w:szCs w:val="30"/>
          <w:highlight w:val="none"/>
        </w:rPr>
        <w:t>取得的职称。</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在</w:t>
      </w:r>
      <w:r>
        <w:rPr>
          <w:rFonts w:hint="eastAsia" w:ascii="仿宋_GB2312" w:hAnsi="仿宋_GB2312" w:eastAsia="仿宋_GB2312" w:cs="仿宋_GB2312"/>
          <w:color w:val="auto"/>
          <w:sz w:val="30"/>
          <w:szCs w:val="30"/>
          <w:highlight w:val="none"/>
        </w:rPr>
        <w:t>资格复核时，</w:t>
      </w:r>
      <w:r>
        <w:rPr>
          <w:rFonts w:hint="eastAsia" w:ascii="仿宋_GB2312" w:hAnsi="仿宋_GB2312" w:eastAsia="仿宋_GB2312" w:cs="仿宋_GB2312"/>
          <w:color w:val="auto"/>
          <w:sz w:val="30"/>
          <w:szCs w:val="30"/>
          <w:highlight w:val="none"/>
          <w:lang w:eastAsia="zh-CN"/>
        </w:rPr>
        <w:t>尚未</w:t>
      </w:r>
      <w:r>
        <w:rPr>
          <w:rFonts w:hint="eastAsia" w:ascii="仿宋_GB2312" w:hAnsi="仿宋_GB2312" w:eastAsia="仿宋_GB2312" w:cs="仿宋_GB2312"/>
          <w:color w:val="auto"/>
          <w:sz w:val="30"/>
          <w:szCs w:val="30"/>
          <w:highlight w:val="none"/>
        </w:rPr>
        <w:t>取得岗位资格条件要求的</w:t>
      </w:r>
      <w:r>
        <w:rPr>
          <w:rFonts w:hint="eastAsia" w:ascii="仿宋_GB2312" w:hAnsi="仿宋_GB2312" w:eastAsia="仿宋_GB2312" w:cs="仿宋_GB2312"/>
          <w:color w:val="auto"/>
          <w:sz w:val="30"/>
          <w:szCs w:val="30"/>
          <w:highlight w:val="none"/>
          <w:lang w:eastAsia="zh-CN"/>
        </w:rPr>
        <w:t>职称</w:t>
      </w:r>
      <w:r>
        <w:rPr>
          <w:rFonts w:hint="eastAsia" w:ascii="仿宋_GB2312" w:hAnsi="仿宋_GB2312" w:eastAsia="仿宋_GB2312" w:cs="仿宋_GB2312"/>
          <w:color w:val="auto"/>
          <w:sz w:val="30"/>
          <w:szCs w:val="30"/>
          <w:highlight w:val="none"/>
        </w:rPr>
        <w:t>证书</w:t>
      </w:r>
      <w:r>
        <w:rPr>
          <w:rFonts w:hint="eastAsia" w:ascii="仿宋_GB2312" w:hAnsi="仿宋_GB2312" w:eastAsia="仿宋_GB2312" w:cs="仿宋_GB2312"/>
          <w:color w:val="auto"/>
          <w:sz w:val="30"/>
          <w:szCs w:val="30"/>
          <w:highlight w:val="none"/>
          <w:lang w:eastAsia="zh-CN"/>
        </w:rPr>
        <w:t>的，可提供</w:t>
      </w:r>
      <w:r>
        <w:rPr>
          <w:rFonts w:hint="eastAsia" w:ascii="仿宋_GB2312" w:hAnsi="仿宋_GB2312" w:eastAsia="仿宋_GB2312" w:cs="仿宋_GB2312"/>
          <w:color w:val="auto"/>
          <w:sz w:val="30"/>
          <w:szCs w:val="30"/>
          <w:highlight w:val="none"/>
        </w:rPr>
        <w:t>成绩单</w:t>
      </w:r>
      <w:r>
        <w:rPr>
          <w:rFonts w:hint="eastAsia" w:ascii="仿宋_GB2312" w:hAnsi="仿宋_GB2312" w:eastAsia="仿宋_GB2312" w:cs="仿宋_GB2312"/>
          <w:color w:val="auto"/>
          <w:sz w:val="30"/>
          <w:szCs w:val="30"/>
          <w:highlight w:val="none"/>
          <w:lang w:eastAsia="zh-CN"/>
        </w:rPr>
        <w:t>（须证明通过考试）、评审通过文件或考核确认表等有效材料。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textAlignment w:val="auto"/>
        <w:outlineLvl w:val="1"/>
        <w:rPr>
          <w:rFonts w:hint="eastAsia" w:ascii="仿宋_GB2312" w:hAnsi="仿宋_GB2312" w:eastAsia="仿宋_GB2312" w:cs="仿宋_GB2312"/>
          <w:b/>
          <w:color w:val="auto"/>
          <w:sz w:val="30"/>
          <w:szCs w:val="30"/>
          <w:highlight w:val="none"/>
        </w:rPr>
      </w:pPr>
      <w:bookmarkStart w:id="105" w:name="_Toc24686"/>
      <w:bookmarkStart w:id="106" w:name="_Toc13358"/>
      <w:r>
        <w:rPr>
          <w:rFonts w:hint="eastAsia" w:ascii="仿宋_GB2312" w:hAnsi="仿宋_GB2312" w:eastAsia="仿宋_GB2312" w:cs="仿宋_GB2312"/>
          <w:b/>
          <w:bCs w:val="0"/>
          <w:color w:val="auto"/>
          <w:sz w:val="30"/>
          <w:szCs w:val="30"/>
          <w:highlight w:val="none"/>
          <w:lang w:eastAsia="zh-CN"/>
        </w:rPr>
        <w:t>（三）</w:t>
      </w:r>
      <w:r>
        <w:rPr>
          <w:rFonts w:hint="eastAsia" w:ascii="仿宋_GB2312" w:hAnsi="仿宋_GB2312" w:eastAsia="仿宋_GB2312" w:cs="仿宋_GB2312"/>
          <w:b/>
          <w:color w:val="auto"/>
          <w:sz w:val="30"/>
          <w:szCs w:val="30"/>
          <w:highlight w:val="none"/>
        </w:rPr>
        <w:t>生源</w:t>
      </w:r>
      <w:bookmarkEnd w:id="105"/>
      <w:bookmarkEnd w:id="10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厦门生源毕业生是指入学前（指考入取得第一个全日制普通教育学历的院校前，下同）户籍和学籍在厦门市的全日制普通教育毕业生。符合以下条件之一的普通教育全日制毕业生可参照厦门生源：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1.入学前户籍在厦门市但学籍不在厦门市的普通教育全日制毕业生；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2.入学前户籍和学籍虽不在厦门市，但本次公开招聘报名截止日前父母或配偶有一方户籍在厦门市的普通教育全日制</w:t>
      </w:r>
      <w:r>
        <w:rPr>
          <w:rFonts w:hint="eastAsia" w:ascii="仿宋_GB2312" w:hAnsi="仿宋_GB2312" w:eastAsia="仿宋_GB2312" w:cs="仿宋_GB2312"/>
          <w:color w:val="auto"/>
          <w:sz w:val="30"/>
          <w:szCs w:val="30"/>
          <w:highlight w:val="none"/>
          <w:lang w:val="en-US" w:eastAsia="zh-CN"/>
        </w:rPr>
        <w:t>202</w:t>
      </w:r>
      <w:r>
        <w:rPr>
          <w:rFonts w:hint="eastAsia" w:ascii="仿宋_GB2312" w:hAnsi="仿宋_GB2312" w:eastAsia="仿宋_GB2312" w:cs="仿宋_GB2312"/>
          <w:color w:val="auto"/>
          <w:sz w:val="30"/>
          <w:szCs w:val="30"/>
          <w:highlight w:val="none"/>
          <w:lang w:eastAsia="zh-CN"/>
        </w:rPr>
        <w:t>2</w:t>
      </w:r>
      <w:r>
        <w:rPr>
          <w:rFonts w:hint="eastAsia" w:ascii="仿宋_GB2312" w:hAnsi="仿宋_GB2312" w:eastAsia="仿宋_GB2312" w:cs="仿宋_GB2312"/>
          <w:color w:val="auto"/>
          <w:sz w:val="30"/>
          <w:szCs w:val="30"/>
          <w:highlight w:val="none"/>
        </w:rPr>
        <w:t>年应届毕业生；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3.根据厦府办〔20</w:t>
      </w:r>
      <w:r>
        <w:rPr>
          <w:rFonts w:hint="eastAsia" w:ascii="仿宋_GB2312" w:hAnsi="仿宋_GB2312" w:eastAsia="仿宋_GB2312" w:cs="仿宋_GB2312"/>
          <w:color w:val="auto"/>
          <w:sz w:val="30"/>
          <w:szCs w:val="30"/>
          <w:highlight w:val="none"/>
          <w:lang w:val="en-US" w:eastAsia="zh-CN"/>
        </w:rPr>
        <w:t>11</w:t>
      </w:r>
      <w:r>
        <w:rPr>
          <w:rFonts w:hint="eastAsia" w:ascii="仿宋_GB2312" w:hAnsi="仿宋_GB2312" w:eastAsia="仿宋_GB2312" w:cs="仿宋_GB2312"/>
          <w:color w:val="auto"/>
          <w:sz w:val="30"/>
          <w:szCs w:val="30"/>
          <w:highlight w:val="none"/>
        </w:rPr>
        <w:t>〕229号文规定来我市就读普通高中且将户籍迁入我市的外来学生，普通高中毕业后从我市考入普通高等院校的全日制普通教育毕业生。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福建生源类推界定。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textAlignment w:val="auto"/>
        <w:outlineLvl w:val="1"/>
        <w:rPr>
          <w:rFonts w:hint="eastAsia" w:ascii="仿宋_GB2312" w:hAnsi="仿宋_GB2312" w:eastAsia="仿宋_GB2312" w:cs="仿宋_GB2312"/>
          <w:b/>
          <w:color w:val="auto"/>
          <w:sz w:val="30"/>
          <w:szCs w:val="30"/>
          <w:highlight w:val="none"/>
        </w:rPr>
      </w:pPr>
      <w:bookmarkStart w:id="107" w:name="_Toc29317"/>
      <w:bookmarkStart w:id="108" w:name="_Toc467"/>
      <w:r>
        <w:rPr>
          <w:rFonts w:hint="eastAsia" w:ascii="仿宋_GB2312" w:hAnsi="仿宋_GB2312" w:eastAsia="仿宋_GB2312" w:cs="仿宋_GB2312"/>
          <w:b/>
          <w:bCs w:val="0"/>
          <w:color w:val="auto"/>
          <w:sz w:val="30"/>
          <w:szCs w:val="30"/>
          <w:highlight w:val="none"/>
          <w:lang w:eastAsia="zh-CN"/>
        </w:rPr>
        <w:t>（四）</w:t>
      </w:r>
      <w:r>
        <w:rPr>
          <w:rFonts w:hint="eastAsia" w:ascii="仿宋_GB2312" w:hAnsi="仿宋_GB2312" w:eastAsia="仿宋_GB2312" w:cs="仿宋_GB2312"/>
          <w:b/>
          <w:color w:val="auto"/>
          <w:sz w:val="30"/>
          <w:szCs w:val="30"/>
          <w:highlight w:val="none"/>
        </w:rPr>
        <w:t>港澳台人员</w:t>
      </w:r>
      <w:bookmarkEnd w:id="107"/>
      <w:bookmarkEnd w:id="108"/>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港澳台人员（不得持有外国籍）的招聘，按照国家、省和我市有关规定办理。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textAlignment w:val="auto"/>
        <w:outlineLvl w:val="1"/>
        <w:rPr>
          <w:rFonts w:hint="eastAsia" w:ascii="仿宋_GB2312" w:hAnsi="仿宋_GB2312" w:eastAsia="仿宋_GB2312" w:cs="仿宋_GB2312"/>
          <w:b/>
          <w:bCs w:val="0"/>
          <w:color w:val="auto"/>
          <w:sz w:val="30"/>
          <w:szCs w:val="30"/>
          <w:highlight w:val="none"/>
        </w:rPr>
      </w:pPr>
      <w:bookmarkStart w:id="109" w:name="_Toc1977"/>
      <w:bookmarkStart w:id="110" w:name="_Toc21833"/>
      <w:r>
        <w:rPr>
          <w:rFonts w:hint="eastAsia" w:ascii="仿宋_GB2312" w:hAnsi="仿宋_GB2312" w:eastAsia="仿宋_GB2312" w:cs="仿宋_GB2312"/>
          <w:b/>
          <w:bCs w:val="0"/>
          <w:color w:val="auto"/>
          <w:sz w:val="30"/>
          <w:szCs w:val="30"/>
          <w:highlight w:val="none"/>
          <w:lang w:eastAsia="zh-CN"/>
        </w:rPr>
        <w:t>（五）</w:t>
      </w:r>
      <w:r>
        <w:rPr>
          <w:rFonts w:hint="eastAsia" w:ascii="仿宋_GB2312" w:hAnsi="仿宋_GB2312" w:eastAsia="仿宋_GB2312" w:cs="仿宋_GB2312"/>
          <w:b/>
          <w:bCs w:val="0"/>
          <w:color w:val="auto"/>
          <w:sz w:val="30"/>
          <w:szCs w:val="30"/>
          <w:highlight w:val="none"/>
        </w:rPr>
        <w:t>技工院校毕业生</w:t>
      </w:r>
      <w:bookmarkEnd w:id="109"/>
      <w:bookmarkEnd w:id="110"/>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技工院校全日制高级工班、预备技师（技师）班毕业，且毕业时已取得相应高级工、预备技师（技师）职业技能等级证书的，经招聘单位及主管部门同意，可分别视同大专、本科学历，报考区属事业单位招聘岗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outlineLvl w:val="0"/>
        <w:rPr>
          <w:rFonts w:hint="eastAsia" w:ascii="黑体" w:hAnsi="黑体" w:eastAsia="黑体" w:cs="黑体"/>
          <w:b/>
          <w:bCs/>
          <w:color w:val="auto"/>
          <w:sz w:val="30"/>
          <w:szCs w:val="30"/>
          <w:highlight w:val="none"/>
          <w:lang w:eastAsia="zh-CN"/>
        </w:rPr>
      </w:pPr>
      <w:bookmarkStart w:id="111" w:name="_Toc8486"/>
      <w:bookmarkStart w:id="112" w:name="_Toc29858"/>
      <w:r>
        <w:rPr>
          <w:rFonts w:hint="eastAsia" w:ascii="黑体" w:hAnsi="黑体" w:eastAsia="黑体" w:cs="黑体"/>
          <w:b w:val="0"/>
          <w:bCs w:val="0"/>
          <w:color w:val="auto"/>
          <w:sz w:val="30"/>
          <w:szCs w:val="30"/>
          <w:highlight w:val="none"/>
          <w:lang w:eastAsia="zh-CN"/>
        </w:rPr>
        <w:t>十六、</w:t>
      </w:r>
      <w:r>
        <w:rPr>
          <w:rFonts w:hint="eastAsia" w:ascii="黑体" w:hAnsi="黑体" w:eastAsia="黑体" w:cs="黑体"/>
          <w:b w:val="0"/>
          <w:bCs w:val="0"/>
          <w:color w:val="auto"/>
          <w:sz w:val="30"/>
          <w:szCs w:val="30"/>
          <w:highlight w:val="none"/>
        </w:rPr>
        <w:t>网上报名操作</w:t>
      </w:r>
      <w:bookmarkEnd w:id="111"/>
      <w:r>
        <w:rPr>
          <w:rFonts w:hint="eastAsia" w:ascii="黑体" w:hAnsi="黑体" w:eastAsia="黑体" w:cs="黑体"/>
          <w:b w:val="0"/>
          <w:bCs w:val="0"/>
          <w:color w:val="auto"/>
          <w:sz w:val="30"/>
          <w:szCs w:val="30"/>
          <w:highlight w:val="none"/>
          <w:lang w:eastAsia="zh-CN"/>
        </w:rPr>
        <w:t>须知</w:t>
      </w:r>
      <w:bookmarkEnd w:id="112"/>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网上报名流程详细操作须知请登录厦门市卫生健康事业单位招聘考试系统（http://120.41.250.30/index.aspx）查看报名流程说明模块内容。</w:t>
      </w:r>
    </w:p>
    <w:p>
      <w:pPr>
        <w:keepNext w:val="0"/>
        <w:keepLines w:val="0"/>
        <w:pageBreakBefore w:val="0"/>
        <w:numPr>
          <w:ilvl w:val="0"/>
          <w:numId w:val="0"/>
        </w:numPr>
        <w:kinsoku/>
        <w:wordWrap/>
        <w:overflowPunct/>
        <w:topLinePunct w:val="0"/>
        <w:autoSpaceDE/>
        <w:autoSpaceDN/>
        <w:bidi w:val="0"/>
        <w:spacing w:line="360" w:lineRule="auto"/>
        <w:textAlignment w:val="auto"/>
        <w:outlineLvl w:val="0"/>
        <w:rPr>
          <w:rFonts w:hint="eastAsia" w:ascii="黑体" w:hAnsi="黑体" w:eastAsia="黑体" w:cs="黑体"/>
          <w:b/>
          <w:bCs/>
          <w:color w:val="auto"/>
          <w:sz w:val="30"/>
          <w:szCs w:val="30"/>
          <w:highlight w:val="none"/>
        </w:rPr>
      </w:pPr>
      <w:r>
        <w:rPr>
          <w:rFonts w:hint="eastAsia" w:ascii="黑体" w:hAnsi="黑体" w:eastAsia="黑体" w:cs="黑体"/>
          <w:b/>
          <w:bCs/>
          <w:color w:val="auto"/>
          <w:sz w:val="30"/>
          <w:szCs w:val="30"/>
          <w:highlight w:val="none"/>
          <w:lang w:val="en-US" w:eastAsia="zh-CN"/>
        </w:rPr>
        <w:t xml:space="preserve">    </w:t>
      </w:r>
      <w:bookmarkStart w:id="113" w:name="_Toc24198"/>
      <w:bookmarkStart w:id="114" w:name="_Toc7320"/>
      <w:r>
        <w:rPr>
          <w:rFonts w:hint="eastAsia" w:ascii="黑体" w:hAnsi="黑体" w:eastAsia="黑体" w:cs="黑体"/>
          <w:b w:val="0"/>
          <w:bCs w:val="0"/>
          <w:color w:val="auto"/>
          <w:sz w:val="30"/>
          <w:szCs w:val="30"/>
          <w:highlight w:val="none"/>
          <w:lang w:eastAsia="zh-CN"/>
        </w:rPr>
        <w:t>十七、</w:t>
      </w:r>
      <w:r>
        <w:rPr>
          <w:rFonts w:hint="eastAsia" w:ascii="黑体" w:hAnsi="黑体" w:eastAsia="黑体" w:cs="黑体"/>
          <w:b w:val="0"/>
          <w:bCs w:val="0"/>
          <w:color w:val="auto"/>
          <w:sz w:val="30"/>
          <w:szCs w:val="30"/>
          <w:highlight w:val="none"/>
        </w:rPr>
        <w:t>疫情防控要求</w:t>
      </w:r>
      <w:bookmarkEnd w:id="113"/>
      <w:bookmarkEnd w:id="114"/>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Calibri" w:eastAsia="仿宋_GB2312" w:cs="黑体"/>
          <w:color w:val="auto"/>
          <w:sz w:val="30"/>
          <w:szCs w:val="30"/>
          <w:highlight w:val="none"/>
        </w:rPr>
      </w:pPr>
      <w:r>
        <w:rPr>
          <w:rFonts w:hint="eastAsia" w:ascii="仿宋_GB2312" w:hAnsi="仿宋_GB2312" w:eastAsia="仿宋_GB2312" w:cs="仿宋_GB2312"/>
          <w:color w:val="auto"/>
          <w:sz w:val="30"/>
          <w:szCs w:val="30"/>
          <w:highlight w:val="none"/>
        </w:rPr>
        <w:t>疫情防控要求贯穿本次招聘全程，将严格按照厦门市应对新冠肺炎疫情工作指挥部</w:t>
      </w:r>
      <w:r>
        <w:rPr>
          <w:rFonts w:hint="eastAsia" w:ascii="仿宋_GB2312" w:hAnsi="仿宋_GB2312" w:eastAsia="仿宋_GB2312" w:cs="仿宋_GB2312"/>
          <w:color w:val="auto"/>
          <w:sz w:val="30"/>
          <w:szCs w:val="30"/>
          <w:highlight w:val="none"/>
          <w:lang w:eastAsia="zh-CN"/>
        </w:rPr>
        <w:t>最新</w:t>
      </w:r>
      <w:r>
        <w:rPr>
          <w:rFonts w:hint="eastAsia" w:ascii="仿宋_GB2312" w:hAnsi="仿宋_GB2312" w:eastAsia="仿宋_GB2312" w:cs="仿宋_GB2312"/>
          <w:color w:val="auto"/>
          <w:sz w:val="30"/>
          <w:szCs w:val="30"/>
          <w:highlight w:val="none"/>
        </w:rPr>
        <w:t>部署，严密落实新冠肺炎疫情防控要求，考生务必遵照疫情防控要求，提前做好行程规划，以免错失考试资格。</w:t>
      </w:r>
      <w:r>
        <w:rPr>
          <w:rFonts w:hint="eastAsia" w:ascii="仿宋_GB2312" w:hAnsi="仿宋_GB2312" w:eastAsia="仿宋_GB2312" w:cs="仿宋_GB2312"/>
          <w:color w:val="auto"/>
          <w:sz w:val="30"/>
          <w:szCs w:val="30"/>
          <w:highlight w:val="none"/>
          <w:lang w:eastAsia="zh-CN"/>
        </w:rPr>
        <w:t>本简章发布之日起至招聘结束，如境内新增中高风险地区，从境内中高风险地区、国（境）外地区来厦的，按我市疫情防控规定执行。</w:t>
      </w:r>
    </w:p>
    <w:sectPr>
      <w:footerReference r:id="rId3" w:type="default"/>
      <w:pgSz w:w="11906" w:h="16838"/>
      <w:pgMar w:top="1417" w:right="1474" w:bottom="1417" w:left="1588" w:header="851" w:footer="992" w:gutter="0"/>
      <w:pgNumType w:fmt="decimal"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j&#10;0coStwEAAFcDAAAOAAAAAAAAAAEAIAAAAB4BAABkcnMvZTJvRG9jLnhtbFBLBQYAAAAABgAGAFkB&#10;AABH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0CCCFE"/>
    <w:multiLevelType w:val="singleLevel"/>
    <w:tmpl w:val="B50CCCFE"/>
    <w:lvl w:ilvl="0" w:tentative="0">
      <w:start w:val="1"/>
      <w:numFmt w:val="chineseCounting"/>
      <w:suff w:val="nothing"/>
      <w:lvlText w:val="（%1）"/>
      <w:lvlJc w:val="left"/>
      <w:rPr>
        <w:rFonts w:hint="eastAsia" w:cs="Times New Roman"/>
      </w:rPr>
    </w:lvl>
  </w:abstractNum>
  <w:abstractNum w:abstractNumId="1">
    <w:nsid w:val="BE17E7BB"/>
    <w:multiLevelType w:val="singleLevel"/>
    <w:tmpl w:val="BE17E7BB"/>
    <w:lvl w:ilvl="0" w:tentative="0">
      <w:start w:val="3"/>
      <w:numFmt w:val="chineseCounting"/>
      <w:suff w:val="nothing"/>
      <w:lvlText w:val="（%1）"/>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1C2A"/>
    <w:rsid w:val="01CC7CF9"/>
    <w:rsid w:val="02BA7D45"/>
    <w:rsid w:val="063616F8"/>
    <w:rsid w:val="066A4EB6"/>
    <w:rsid w:val="06800392"/>
    <w:rsid w:val="0756597C"/>
    <w:rsid w:val="0BCD5ABC"/>
    <w:rsid w:val="0BDF426B"/>
    <w:rsid w:val="0BF07998"/>
    <w:rsid w:val="0D257FA6"/>
    <w:rsid w:val="106B1EF6"/>
    <w:rsid w:val="1976381F"/>
    <w:rsid w:val="1A345549"/>
    <w:rsid w:val="1AD433EB"/>
    <w:rsid w:val="1AE228A1"/>
    <w:rsid w:val="1B2913D8"/>
    <w:rsid w:val="1CFE2A9B"/>
    <w:rsid w:val="1D1075D0"/>
    <w:rsid w:val="1D8C7E40"/>
    <w:rsid w:val="1E9E4585"/>
    <w:rsid w:val="2373013C"/>
    <w:rsid w:val="24366BB3"/>
    <w:rsid w:val="24C745BD"/>
    <w:rsid w:val="24EF2718"/>
    <w:rsid w:val="258A168A"/>
    <w:rsid w:val="25987D07"/>
    <w:rsid w:val="27084A19"/>
    <w:rsid w:val="28E44E2E"/>
    <w:rsid w:val="292875F4"/>
    <w:rsid w:val="29581C87"/>
    <w:rsid w:val="2B2335A9"/>
    <w:rsid w:val="2B631DDB"/>
    <w:rsid w:val="2D1D062D"/>
    <w:rsid w:val="2DF41384"/>
    <w:rsid w:val="305B02AF"/>
    <w:rsid w:val="31001F67"/>
    <w:rsid w:val="31C921E8"/>
    <w:rsid w:val="33EF143A"/>
    <w:rsid w:val="36FD93EA"/>
    <w:rsid w:val="39F5243C"/>
    <w:rsid w:val="3A0C28A8"/>
    <w:rsid w:val="3BA05290"/>
    <w:rsid w:val="3C571A06"/>
    <w:rsid w:val="3CE433F0"/>
    <w:rsid w:val="3D0A6D79"/>
    <w:rsid w:val="3E510064"/>
    <w:rsid w:val="3EF20030"/>
    <w:rsid w:val="3FB3371C"/>
    <w:rsid w:val="44B46CE3"/>
    <w:rsid w:val="46384747"/>
    <w:rsid w:val="4989333F"/>
    <w:rsid w:val="4CE624E2"/>
    <w:rsid w:val="502B5524"/>
    <w:rsid w:val="511E4CB5"/>
    <w:rsid w:val="514C537E"/>
    <w:rsid w:val="516A739C"/>
    <w:rsid w:val="54420E00"/>
    <w:rsid w:val="575E2C0F"/>
    <w:rsid w:val="580E02F4"/>
    <w:rsid w:val="5996453F"/>
    <w:rsid w:val="59A02428"/>
    <w:rsid w:val="5A0A3C12"/>
    <w:rsid w:val="5AAC1993"/>
    <w:rsid w:val="5C930305"/>
    <w:rsid w:val="5CAE7301"/>
    <w:rsid w:val="5FFF4801"/>
    <w:rsid w:val="64903E67"/>
    <w:rsid w:val="649C0AAD"/>
    <w:rsid w:val="651B17E0"/>
    <w:rsid w:val="654E5711"/>
    <w:rsid w:val="691E0518"/>
    <w:rsid w:val="696A1062"/>
    <w:rsid w:val="69D313DD"/>
    <w:rsid w:val="6BB9510E"/>
    <w:rsid w:val="6BF6605B"/>
    <w:rsid w:val="6C4A16F3"/>
    <w:rsid w:val="6DB02004"/>
    <w:rsid w:val="70131A31"/>
    <w:rsid w:val="70B52AE8"/>
    <w:rsid w:val="71456753"/>
    <w:rsid w:val="72FD0776"/>
    <w:rsid w:val="730E7C53"/>
    <w:rsid w:val="745A5E80"/>
    <w:rsid w:val="74623D1E"/>
    <w:rsid w:val="74C72EF0"/>
    <w:rsid w:val="774D7EC0"/>
    <w:rsid w:val="78B5520C"/>
    <w:rsid w:val="78F13B18"/>
    <w:rsid w:val="79921C19"/>
    <w:rsid w:val="7C233B86"/>
    <w:rsid w:val="7F4000BE"/>
    <w:rsid w:val="7F45511F"/>
    <w:rsid w:val="7F967F89"/>
    <w:rsid w:val="DF55B7A5"/>
    <w:rsid w:val="EBC7795C"/>
    <w:rsid w:val="F2FD75E2"/>
    <w:rsid w:val="F6E7E7E6"/>
    <w:rsid w:val="F7D30EC5"/>
    <w:rsid w:val="FACFB5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99"/>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7"/>
    <w:semiHidden/>
    <w:qFormat/>
    <w:uiPriority w:val="99"/>
    <w:pPr>
      <w:jc w:val="left"/>
    </w:pPr>
  </w:style>
  <w:style w:type="paragraph" w:styleId="3">
    <w:name w:val="toc 3"/>
    <w:basedOn w:val="1"/>
    <w:next w:val="1"/>
    <w:qFormat/>
    <w:locked/>
    <w:uiPriority w:val="0"/>
    <w:pPr>
      <w:ind w:left="840" w:leftChars="400"/>
    </w:pPr>
  </w:style>
  <w:style w:type="paragraph" w:styleId="4">
    <w:name w:val="Balloon Text"/>
    <w:basedOn w:val="1"/>
    <w:link w:val="18"/>
    <w:semiHidden/>
    <w:qFormat/>
    <w:uiPriority w:val="99"/>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20"/>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99"/>
  </w:style>
  <w:style w:type="paragraph" w:styleId="8">
    <w:name w:val="toc 2"/>
    <w:basedOn w:val="1"/>
    <w:next w:val="1"/>
    <w:qFormat/>
    <w:uiPriority w:val="99"/>
    <w:pPr>
      <w:ind w:left="420" w:leftChars="200"/>
    </w:pPr>
  </w:style>
  <w:style w:type="paragraph" w:styleId="9">
    <w:name w:val="Normal (Web)"/>
    <w:basedOn w:val="1"/>
    <w:unhideWhenUsed/>
    <w:qFormat/>
    <w:uiPriority w:val="99"/>
    <w:pPr>
      <w:spacing w:before="100" w:beforeAutospacing="1" w:after="100" w:afterAutospacing="1"/>
      <w:ind w:left="0" w:right="0"/>
      <w:jc w:val="left"/>
    </w:pPr>
    <w:rPr>
      <w:kern w:val="0"/>
      <w:sz w:val="24"/>
      <w:lang w:val="en-US" w:eastAsia="zh-CN"/>
    </w:rPr>
  </w:style>
  <w:style w:type="character" w:styleId="11">
    <w:name w:val="Hyperlink"/>
    <w:basedOn w:val="10"/>
    <w:qFormat/>
    <w:uiPriority w:val="99"/>
    <w:rPr>
      <w:rFonts w:cs="Times New Roman"/>
      <w:color w:val="0000FF"/>
      <w:u w:val="single"/>
    </w:rPr>
  </w:style>
  <w:style w:type="character" w:styleId="12">
    <w:name w:val="annotation reference"/>
    <w:basedOn w:val="10"/>
    <w:semiHidden/>
    <w:qFormat/>
    <w:uiPriority w:val="99"/>
    <w:rPr>
      <w:rFonts w:cs="Times New Roman"/>
      <w:sz w:val="21"/>
      <w:szCs w:val="21"/>
    </w:rPr>
  </w:style>
  <w:style w:type="paragraph" w:customStyle="1" w:styleId="14">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5">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6">
    <w:name w:val="List Paragraph"/>
    <w:basedOn w:val="1"/>
    <w:qFormat/>
    <w:uiPriority w:val="99"/>
    <w:pPr>
      <w:ind w:firstLine="420" w:firstLineChars="200"/>
    </w:pPr>
  </w:style>
  <w:style w:type="character" w:customStyle="1" w:styleId="17">
    <w:name w:val="Comment Text Char"/>
    <w:basedOn w:val="10"/>
    <w:link w:val="2"/>
    <w:qFormat/>
    <w:uiPriority w:val="99"/>
    <w:rPr>
      <w:rFonts w:cs="Times New Roman"/>
    </w:rPr>
  </w:style>
  <w:style w:type="character" w:customStyle="1" w:styleId="18">
    <w:name w:val="Balloon Text Char Char"/>
    <w:basedOn w:val="10"/>
    <w:link w:val="4"/>
    <w:qFormat/>
    <w:uiPriority w:val="99"/>
    <w:rPr>
      <w:rFonts w:cs="Times New Roman"/>
      <w:sz w:val="2"/>
    </w:rPr>
  </w:style>
  <w:style w:type="character" w:customStyle="1" w:styleId="19">
    <w:name w:val="Footer Char"/>
    <w:basedOn w:val="10"/>
    <w:link w:val="5"/>
    <w:qFormat/>
    <w:uiPriority w:val="99"/>
    <w:rPr>
      <w:rFonts w:cs="Times New Roman"/>
      <w:sz w:val="18"/>
      <w:szCs w:val="18"/>
    </w:rPr>
  </w:style>
  <w:style w:type="character" w:customStyle="1" w:styleId="20">
    <w:name w:val="Header Char"/>
    <w:basedOn w:val="10"/>
    <w:link w:val="6"/>
    <w:qFormat/>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20</Pages>
  <Words>8925</Words>
  <Characters>9248</Characters>
  <Lines>0</Lines>
  <Paragraphs>0</Paragraphs>
  <TotalTime>15</TotalTime>
  <ScaleCrop>false</ScaleCrop>
  <LinksUpToDate>false</LinksUpToDate>
  <CharactersWithSpaces>9341</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2020-09-06T06:53:00Z</dcterms:created>
  <dc:creator>dell</dc:creator>
  <cp:lastModifiedBy>lzhy</cp:lastModifiedBy>
  <cp:lastPrinted>2020-09-07T08:26:00Z</cp:lastPrinted>
  <dcterms:modified xsi:type="dcterms:W3CDTF">2022-04-15T00:59:34Z</dcterms:modified>
  <dc:title>附件1：厦门市同安区所属卫生事业单位</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73A5C361AEFC4316AB84ED5BEFFF1FA7</vt:lpwstr>
  </property>
</Properties>
</file>