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60"/>
          <w:tab w:val="left" w:pos="7560"/>
        </w:tabs>
        <w:spacing w:line="578" w:lineRule="exact"/>
        <w:ind w:left="0" w:leftChars="0" w:firstLine="0" w:firstLineChars="0"/>
        <w:rPr>
          <w:rFonts w:hint="eastAsia" w:eastAsia="黑体"/>
          <w:b/>
        </w:rPr>
      </w:pPr>
      <w:r>
        <w:rPr>
          <w:rFonts w:eastAsia="黑体"/>
          <w:b/>
        </w:rPr>
        <w:t>附件1</w:t>
      </w:r>
    </w:p>
    <w:p>
      <w:pPr>
        <w:spacing w:line="600" w:lineRule="exact"/>
        <w:ind w:left="0" w:leftChars="0" w:firstLine="0" w:firstLineChars="0"/>
        <w:jc w:val="center"/>
        <w:rPr>
          <w:rFonts w:ascii="方正小标宋简体" w:hAnsi="方正小标宋简体" w:eastAsia="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olor w:val="000000" w:themeColor="text1"/>
          <w:sz w:val="44"/>
          <w:szCs w:val="44"/>
          <w14:textFill>
            <w14:solidFill>
              <w14:schemeClr w14:val="tx1"/>
            </w14:solidFill>
          </w14:textFill>
        </w:rPr>
        <w:t>“嘉陵江英才工程”2022年度引才需求信息表</w:t>
      </w:r>
    </w:p>
    <w:tbl>
      <w:tblPr>
        <w:tblStyle w:val="5"/>
        <w:tblW w:w="14757" w:type="dxa"/>
        <w:jc w:val="center"/>
        <w:tblLayout w:type="fixed"/>
        <w:tblCellMar>
          <w:top w:w="0" w:type="dxa"/>
          <w:left w:w="108" w:type="dxa"/>
          <w:bottom w:w="0" w:type="dxa"/>
          <w:right w:w="108" w:type="dxa"/>
        </w:tblCellMar>
      </w:tblPr>
      <w:tblGrid>
        <w:gridCol w:w="1149"/>
        <w:gridCol w:w="2268"/>
        <w:gridCol w:w="1313"/>
        <w:gridCol w:w="490"/>
        <w:gridCol w:w="818"/>
        <w:gridCol w:w="742"/>
        <w:gridCol w:w="748"/>
        <w:gridCol w:w="1002"/>
        <w:gridCol w:w="835"/>
        <w:gridCol w:w="943"/>
        <w:gridCol w:w="197"/>
        <w:gridCol w:w="709"/>
        <w:gridCol w:w="511"/>
        <w:gridCol w:w="3032"/>
      </w:tblGrid>
      <w:tr>
        <w:tblPrEx>
          <w:tblCellMar>
            <w:top w:w="0" w:type="dxa"/>
            <w:left w:w="108" w:type="dxa"/>
            <w:bottom w:w="0" w:type="dxa"/>
            <w:right w:w="108" w:type="dxa"/>
          </w:tblCellMar>
        </w:tblPrEx>
        <w:trPr>
          <w:trHeight w:val="90"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单位</w:t>
            </w:r>
          </w:p>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名称</w:t>
            </w: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仿宋简体" w:hAnsi="宋体" w:eastAsia="方正仿宋简体" w:cs="宋体"/>
                <w:bCs/>
                <w:color w:val="000000" w:themeColor="text1"/>
                <w:kern w:val="0"/>
                <w:sz w:val="24"/>
                <w14:textFill>
                  <w14:solidFill>
                    <w14:schemeClr w14:val="tx1"/>
                  </w14:solidFill>
                </w14:textFill>
              </w:rPr>
            </w:pPr>
            <w:r>
              <w:rPr>
                <w:rFonts w:hint="eastAsia" w:ascii="方正仿宋简体" w:hAnsi="宋体" w:eastAsia="方正仿宋简体" w:cs="宋体"/>
                <w:bCs/>
                <w:color w:val="000000" w:themeColor="text1"/>
                <w:kern w:val="0"/>
                <w:sz w:val="24"/>
                <w14:textFill>
                  <w14:solidFill>
                    <w14:schemeClr w14:val="tx1"/>
                  </w14:solidFill>
                </w14:textFill>
              </w:rPr>
              <w:t>南充龙门中学</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单位类别</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仿宋简体" w:hAnsi="宋体" w:eastAsia="方正仿宋简体" w:cs="宋体"/>
                <w:bCs/>
                <w:color w:val="000000" w:themeColor="text1"/>
                <w:sz w:val="24"/>
                <w14:textFill>
                  <w14:solidFill>
                    <w14:schemeClr w14:val="tx1"/>
                  </w14:solidFill>
                </w14:textFill>
              </w:rPr>
            </w:pPr>
            <w:r>
              <w:rPr>
                <w:rFonts w:hint="eastAsia" w:ascii="方正仿宋简体" w:hAnsi="宋体" w:eastAsia="方正仿宋简体" w:cs="宋体"/>
                <w:bCs/>
                <w:color w:val="000000" w:themeColor="text1"/>
                <w:kern w:val="0"/>
                <w:sz w:val="24"/>
                <w14:textFill>
                  <w14:solidFill>
                    <w14:schemeClr w14:val="tx1"/>
                  </w14:solidFill>
                </w14:textFill>
              </w:rPr>
              <w:t>其他事业单位</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单位网址</w:t>
            </w: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rPr>
                <w:rFonts w:eastAsia="方正仿宋简体"/>
                <w:bCs/>
                <w:color w:val="000000" w:themeColor="text1"/>
                <w:sz w:val="24"/>
                <w14:textFill>
                  <w14:solidFill>
                    <w14:schemeClr w14:val="tx1"/>
                  </w14:solidFill>
                </w14:textFill>
              </w:rPr>
            </w:pP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黑体简体"/>
                <w:bCs/>
                <w:color w:val="000000" w:themeColor="text1"/>
                <w:kern w:val="0"/>
                <w:sz w:val="24"/>
                <w14:textFill>
                  <w14:solidFill>
                    <w14:schemeClr w14:val="tx1"/>
                  </w14:solidFill>
                </w14:textFill>
              </w:rPr>
            </w:pPr>
            <w:r>
              <w:rPr>
                <w:rFonts w:eastAsia="方正黑体简体"/>
                <w:bCs/>
                <w:color w:val="000000" w:themeColor="text1"/>
                <w:kern w:val="0"/>
                <w:sz w:val="24"/>
                <w14:textFill>
                  <w14:solidFill>
                    <w14:schemeClr w14:val="tx1"/>
                  </w14:solidFill>
                </w14:textFill>
              </w:rPr>
              <w:t>邮政编码</w:t>
            </w:r>
          </w:p>
        </w:tc>
        <w:tc>
          <w:tcPr>
            <w:tcW w:w="35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637100</w:t>
            </w:r>
          </w:p>
        </w:tc>
      </w:tr>
      <w:tr>
        <w:tblPrEx>
          <w:tblCellMar>
            <w:top w:w="0" w:type="dxa"/>
            <w:left w:w="108" w:type="dxa"/>
            <w:bottom w:w="0" w:type="dxa"/>
            <w:right w:w="108" w:type="dxa"/>
          </w:tblCellMar>
        </w:tblPrEx>
        <w:trPr>
          <w:trHeight w:val="518"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联系人</w:t>
            </w: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仿宋简体" w:hAnsi="宋体" w:eastAsia="方正仿宋简体" w:cs="宋体"/>
                <w:bCs/>
                <w:color w:val="000000" w:themeColor="text1"/>
                <w:sz w:val="24"/>
                <w14:textFill>
                  <w14:solidFill>
                    <w14:schemeClr w14:val="tx1"/>
                  </w14:solidFill>
                </w14:textFill>
              </w:rPr>
            </w:pPr>
            <w:r>
              <w:rPr>
                <w:rFonts w:hint="eastAsia" w:ascii="方正仿宋简体" w:hAnsi="宋体" w:eastAsia="方正仿宋简体" w:cs="宋体"/>
                <w:bCs/>
                <w:color w:val="000000" w:themeColor="text1"/>
                <w:kern w:val="0"/>
                <w:sz w:val="24"/>
                <w14:textFill>
                  <w14:solidFill>
                    <w14:schemeClr w14:val="tx1"/>
                  </w14:solidFill>
                </w14:textFill>
              </w:rPr>
              <w:t>龚伟波</w:t>
            </w:r>
          </w:p>
        </w:tc>
        <w:tc>
          <w:tcPr>
            <w:tcW w:w="180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联系电话</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13540952099</w:t>
            </w:r>
          </w:p>
        </w:tc>
        <w:tc>
          <w:tcPr>
            <w:tcW w:w="17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E-mail</w:t>
            </w: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left"/>
              <w:textAlignment w:val="center"/>
              <w:rPr>
                <w:rFonts w:eastAsia="方正仿宋简体"/>
                <w:color w:val="000000" w:themeColor="text1"/>
                <w:sz w:val="24"/>
                <w14:textFill>
                  <w14:solidFill>
                    <w14:schemeClr w14:val="tx1"/>
                  </w14:solidFill>
                </w14:textFill>
              </w:rPr>
            </w:pPr>
            <w:r>
              <w:fldChar w:fldCharType="begin"/>
            </w:r>
            <w:r>
              <w:instrText xml:space="preserve"> HYPERLINK "mailto:1225051515@qq.com" </w:instrText>
            </w:r>
            <w:r>
              <w:fldChar w:fldCharType="separate"/>
            </w:r>
            <w:r>
              <w:rPr>
                <w:rStyle w:val="7"/>
                <w:rFonts w:eastAsia="方正仿宋简体"/>
                <w:color w:val="000000" w:themeColor="text1"/>
                <w:sz w:val="24"/>
                <w:u w:val="none"/>
                <w14:textFill>
                  <w14:solidFill>
                    <w14:schemeClr w14:val="tx1"/>
                  </w14:solidFill>
                </w14:textFill>
              </w:rPr>
              <w:t>1225051515@qq.com</w:t>
            </w:r>
            <w:r>
              <w:rPr>
                <w:rStyle w:val="7"/>
                <w:rFonts w:eastAsia="方正仿宋简体"/>
                <w:color w:val="000000" w:themeColor="text1"/>
                <w:sz w:val="24"/>
                <w:u w:val="none"/>
                <w14:textFill>
                  <w14:solidFill>
                    <w14:schemeClr w14:val="tx1"/>
                  </w14:solidFill>
                </w14:textFill>
              </w:rPr>
              <w:fldChar w:fldCharType="end"/>
            </w:r>
          </w:p>
        </w:tc>
        <w:tc>
          <w:tcPr>
            <w:tcW w:w="9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黑体简体"/>
                <w:bCs/>
                <w:color w:val="000000" w:themeColor="text1"/>
                <w:kern w:val="0"/>
                <w:sz w:val="24"/>
                <w14:textFill>
                  <w14:solidFill>
                    <w14:schemeClr w14:val="tx1"/>
                  </w14:solidFill>
                </w14:textFill>
              </w:rPr>
            </w:pPr>
            <w:r>
              <w:rPr>
                <w:rFonts w:eastAsia="方正黑体简体"/>
                <w:bCs/>
                <w:color w:val="000000" w:themeColor="text1"/>
                <w:kern w:val="0"/>
                <w:sz w:val="24"/>
                <w14:textFill>
                  <w14:solidFill>
                    <w14:schemeClr w14:val="tx1"/>
                  </w14:solidFill>
                </w14:textFill>
              </w:rPr>
              <w:t>通讯地址</w:t>
            </w:r>
          </w:p>
        </w:tc>
        <w:tc>
          <w:tcPr>
            <w:tcW w:w="354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四川省南充市高坪区龙门镇文风街83号</w:t>
            </w:r>
          </w:p>
        </w:tc>
      </w:tr>
      <w:tr>
        <w:tblPrEx>
          <w:tblCellMar>
            <w:top w:w="0" w:type="dxa"/>
            <w:left w:w="108" w:type="dxa"/>
            <w:bottom w:w="0" w:type="dxa"/>
            <w:right w:w="108" w:type="dxa"/>
          </w:tblCellMar>
        </w:tblPrEx>
        <w:trPr>
          <w:trHeight w:val="285"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单位简介</w:t>
            </w:r>
            <w:r>
              <w:rPr>
                <w:rFonts w:eastAsia="方正黑体简体"/>
                <w:bCs/>
                <w:color w:val="000000" w:themeColor="text1"/>
                <w:kern w:val="0"/>
                <w:sz w:val="24"/>
                <w14:textFill>
                  <w14:solidFill>
                    <w14:schemeClr w14:val="tx1"/>
                  </w14:solidFill>
                </w14:textFill>
              </w:rPr>
              <w:t>（200字左右</w:t>
            </w:r>
            <w:r>
              <w:rPr>
                <w:rFonts w:hint="eastAsia" w:ascii="方正黑体简体" w:hAnsi="宋体" w:eastAsia="方正黑体简体" w:cs="宋体"/>
                <w:bCs/>
                <w:color w:val="000000" w:themeColor="text1"/>
                <w:kern w:val="0"/>
                <w:sz w:val="24"/>
                <w14:textFill>
                  <w14:solidFill>
                    <w14:schemeClr w14:val="tx1"/>
                  </w14:solidFill>
                </w14:textFill>
              </w:rPr>
              <w:t>）</w:t>
            </w:r>
          </w:p>
        </w:tc>
        <w:tc>
          <w:tcPr>
            <w:tcW w:w="13608" w:type="dxa"/>
            <w:gridSpan w:val="1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left"/>
              <w:textAlignment w:val="center"/>
              <w:rPr>
                <w:rFonts w:ascii="方正仿宋简体" w:hAnsi="宋体" w:eastAsia="方正仿宋简体" w:cs="宋体"/>
                <w:bCs/>
                <w:color w:val="000000" w:themeColor="text1"/>
                <w:sz w:val="24"/>
                <w14:textFill>
                  <w14:solidFill>
                    <w14:schemeClr w14:val="tx1"/>
                  </w14:solidFill>
                </w14:textFill>
              </w:rPr>
            </w:pPr>
            <w:r>
              <w:rPr>
                <w:rFonts w:hint="eastAsia" w:ascii="宋体" w:hAnsi="宋体" w:eastAsia="宋体" w:cs="宋体"/>
                <w:bCs/>
                <w:color w:val="000000" w:themeColor="text1"/>
                <w:kern w:val="0"/>
                <w:sz w:val="21"/>
                <w:szCs w:val="21"/>
                <w14:textFill>
                  <w14:solidFill>
                    <w14:schemeClr w14:val="tx1"/>
                  </w14:solidFill>
                </w14:textFill>
              </w:rPr>
              <w:t xml:space="preserve"> </w:t>
            </w:r>
            <w:r>
              <w:rPr>
                <w:rFonts w:hint="eastAsia" w:ascii="方正仿宋简体" w:hAnsi="宋体" w:eastAsia="方正仿宋简体" w:cs="宋体"/>
                <w:bCs/>
                <w:color w:val="000000" w:themeColor="text1"/>
                <w:kern w:val="0"/>
                <w:sz w:val="21"/>
                <w:szCs w:val="21"/>
                <w14:textFill>
                  <w14:solidFill>
                    <w14:schemeClr w14:val="tx1"/>
                  </w14:solidFill>
                </w14:textFill>
              </w:rPr>
              <w:t xml:space="preserve">   </w:t>
            </w:r>
            <w:r>
              <w:rPr>
                <w:rFonts w:eastAsia="方正仿宋简体"/>
                <w:bCs/>
                <w:color w:val="000000" w:themeColor="text1"/>
                <w:kern w:val="0"/>
                <w:sz w:val="24"/>
                <w14:textFill>
                  <w14:solidFill>
                    <w14:schemeClr w14:val="tx1"/>
                  </w14:solidFill>
                </w14:textFill>
              </w:rPr>
              <w:t>南充龙门中学于1932年创办，现为南充市教体局直属中学</w:t>
            </w:r>
            <w:r>
              <w:rPr>
                <w:rFonts w:hint="eastAsia"/>
                <w:bCs/>
                <w:color w:val="000000" w:themeColor="text1"/>
                <w:kern w:val="0"/>
                <w:sz w:val="24"/>
                <w:lang w:eastAsia="zh-CN"/>
                <w14:textFill>
                  <w14:solidFill>
                    <w14:schemeClr w14:val="tx1"/>
                  </w14:solidFill>
                </w14:textFill>
              </w:rPr>
              <w:t>、</w:t>
            </w:r>
            <w:r>
              <w:rPr>
                <w:rFonts w:hint="eastAsia"/>
                <w:bCs/>
                <w:color w:val="000000" w:themeColor="text1"/>
                <w:kern w:val="0"/>
                <w:sz w:val="24"/>
                <w:lang w:val="en-US" w:eastAsia="zh-CN"/>
                <w14:textFill>
                  <w14:solidFill>
                    <w14:schemeClr w14:val="tx1"/>
                  </w14:solidFill>
                </w14:textFill>
              </w:rPr>
              <w:t>四川省二级示范性普通高中</w:t>
            </w:r>
            <w:r>
              <w:rPr>
                <w:rFonts w:eastAsia="方正仿宋简体"/>
                <w:bCs/>
                <w:color w:val="000000" w:themeColor="text1"/>
                <w:kern w:val="0"/>
                <w:sz w:val="24"/>
                <w14:textFill>
                  <w14:solidFill>
                    <w14:schemeClr w14:val="tx1"/>
                  </w14:solidFill>
                </w14:textFill>
              </w:rPr>
              <w:t>。在校师生三千余人，</w:t>
            </w:r>
            <w:r>
              <w:rPr>
                <w:rFonts w:hint="eastAsia" w:eastAsia="方正仿宋简体"/>
                <w:bCs/>
                <w:color w:val="000000" w:themeColor="text1"/>
                <w:kern w:val="0"/>
                <w:sz w:val="24"/>
                <w14:textFill>
                  <w14:solidFill>
                    <w14:schemeClr w14:val="tx1"/>
                  </w14:solidFill>
                </w14:textFill>
              </w:rPr>
              <w:t>学校</w:t>
            </w:r>
            <w:r>
              <w:rPr>
                <w:rFonts w:eastAsia="方正仿宋简体"/>
                <w:bCs/>
                <w:color w:val="000000" w:themeColor="text1"/>
                <w:kern w:val="0"/>
                <w:sz w:val="24"/>
                <w14:textFill>
                  <w14:solidFill>
                    <w14:schemeClr w14:val="tx1"/>
                  </w14:solidFill>
                </w14:textFill>
              </w:rPr>
              <w:t>先后评为四川省首批重点中学、四川省校风示范校、全国优秀家长学校、四川省电化教育示范学校等各项荣誉60余项次。</w:t>
            </w:r>
          </w:p>
        </w:tc>
      </w:tr>
      <w:tr>
        <w:tblPrEx>
          <w:tblCellMar>
            <w:top w:w="0" w:type="dxa"/>
            <w:left w:w="108" w:type="dxa"/>
            <w:bottom w:w="0" w:type="dxa"/>
            <w:right w:w="108" w:type="dxa"/>
          </w:tblCellMar>
        </w:tblPrEx>
        <w:trPr>
          <w:trHeight w:val="213"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序号</w:t>
            </w: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引进岗位</w:t>
            </w: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专业</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职称职务要求</w:t>
            </w:r>
          </w:p>
        </w:tc>
        <w:tc>
          <w:tcPr>
            <w:tcW w:w="14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学历学位要求</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其他要求</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需求人数</w:t>
            </w:r>
          </w:p>
        </w:tc>
        <w:tc>
          <w:tcPr>
            <w:tcW w:w="12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引进方式</w:t>
            </w:r>
          </w:p>
        </w:tc>
        <w:tc>
          <w:tcPr>
            <w:tcW w:w="3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ascii="方正黑体简体" w:hAnsi="宋体" w:eastAsia="方正黑体简体" w:cs="宋体"/>
                <w:bCs/>
                <w:color w:val="000000" w:themeColor="text1"/>
                <w:kern w:val="0"/>
                <w:sz w:val="24"/>
                <w14:textFill>
                  <w14:solidFill>
                    <w14:schemeClr w14:val="tx1"/>
                  </w14:solidFill>
                </w14:textFill>
              </w:rPr>
            </w:pPr>
            <w:r>
              <w:rPr>
                <w:rFonts w:hint="eastAsia" w:ascii="方正黑体简体" w:hAnsi="宋体" w:eastAsia="方正黑体简体" w:cs="宋体"/>
                <w:bCs/>
                <w:color w:val="000000" w:themeColor="text1"/>
                <w:kern w:val="0"/>
                <w:sz w:val="24"/>
                <w14:textFill>
                  <w14:solidFill>
                    <w14:schemeClr w14:val="tx1"/>
                  </w14:solidFill>
                </w14:textFill>
              </w:rPr>
              <w:t>提供薪酬、生活待遇或其他优惠条件</w:t>
            </w:r>
          </w:p>
        </w:tc>
      </w:tr>
      <w:tr>
        <w:tblPrEx>
          <w:tblCellMar>
            <w:top w:w="0" w:type="dxa"/>
            <w:left w:w="108" w:type="dxa"/>
            <w:bottom w:w="0" w:type="dxa"/>
            <w:right w:w="108" w:type="dxa"/>
          </w:tblCellMar>
        </w:tblPrEx>
        <w:trPr>
          <w:trHeight w:val="1449" w:hRule="atLeast"/>
          <w:jc w:val="center"/>
        </w:trPr>
        <w:tc>
          <w:tcPr>
            <w:tcW w:w="11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w:t>
            </w:r>
          </w:p>
        </w:tc>
        <w:tc>
          <w:tcPr>
            <w:tcW w:w="2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心理健康教师</w:t>
            </w:r>
          </w:p>
        </w:tc>
        <w:tc>
          <w:tcPr>
            <w:tcW w:w="13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firstLine="0" w:firstLineChars="0"/>
              <w:jc w:val="both"/>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应用心理、应用心理学</w:t>
            </w:r>
          </w:p>
        </w:tc>
        <w:tc>
          <w:tcPr>
            <w:tcW w:w="13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80" w:lineRule="exact"/>
              <w:ind w:firstLine="0" w:firstLineChars="0"/>
              <w:jc w:val="center"/>
              <w:rPr>
                <w:rFonts w:eastAsia="方正仿宋简体"/>
                <w:bCs/>
                <w:color w:val="000000" w:themeColor="text1"/>
                <w:sz w:val="24"/>
                <w14:textFill>
                  <w14:solidFill>
                    <w14:schemeClr w14:val="tx1"/>
                  </w14:solidFill>
                </w14:textFill>
              </w:rPr>
            </w:pPr>
          </w:p>
        </w:tc>
        <w:tc>
          <w:tcPr>
            <w:tcW w:w="14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both"/>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硕士研究生及以上且取得相应学位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firstLine="0" w:firstLineChars="0"/>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年龄不超过30周岁；具备心理健康教育高级中学教师资格证书</w:t>
            </w:r>
          </w:p>
        </w:tc>
        <w:tc>
          <w:tcPr>
            <w:tcW w:w="114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firstLine="0" w:firstLineChars="0"/>
              <w:jc w:val="center"/>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1</w:t>
            </w:r>
          </w:p>
        </w:tc>
        <w:tc>
          <w:tcPr>
            <w:tcW w:w="122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firstLine="0" w:firstLineChars="0"/>
              <w:jc w:val="both"/>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编制内刚性引进</w:t>
            </w:r>
          </w:p>
        </w:tc>
        <w:tc>
          <w:tcPr>
            <w:tcW w:w="3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80" w:lineRule="exact"/>
              <w:ind w:left="0" w:leftChars="0" w:firstLine="0" w:firstLineChars="0"/>
              <w:textAlignment w:val="center"/>
              <w:rPr>
                <w:rFonts w:eastAsia="方正仿宋简体"/>
                <w:bCs/>
                <w:color w:val="000000" w:themeColor="text1"/>
                <w:sz w:val="24"/>
                <w14:textFill>
                  <w14:solidFill>
                    <w14:schemeClr w14:val="tx1"/>
                  </w14:solidFill>
                </w14:textFill>
              </w:rPr>
            </w:pPr>
            <w:r>
              <w:rPr>
                <w:rFonts w:eastAsia="方正仿宋简体"/>
                <w:bCs/>
                <w:color w:val="000000" w:themeColor="text1"/>
                <w:kern w:val="0"/>
                <w:sz w:val="24"/>
                <w14:textFill>
                  <w14:solidFill>
                    <w14:schemeClr w14:val="tx1"/>
                  </w14:solidFill>
                </w14:textFill>
              </w:rPr>
              <w:t>按</w:t>
            </w:r>
            <w:r>
              <w:rPr>
                <w:rFonts w:hint="eastAsia" w:ascii="方正仿宋简体" w:eastAsia="方正仿宋简体"/>
                <w:bCs/>
                <w:color w:val="000000" w:themeColor="text1"/>
                <w:kern w:val="0"/>
                <w:sz w:val="24"/>
                <w14:textFill>
                  <w14:solidFill>
                    <w14:schemeClr w14:val="tx1"/>
                  </w14:solidFill>
                </w14:textFill>
              </w:rPr>
              <w:t>“嘉陵江英才工程”政策执行</w:t>
            </w:r>
          </w:p>
        </w:tc>
      </w:tr>
    </w:tbl>
    <w:p>
      <w:pPr>
        <w:pStyle w:val="2"/>
        <w:ind w:firstLine="0" w:firstLineChars="0"/>
        <w:rPr>
          <w:rFonts w:eastAsia="黑体"/>
        </w:rPr>
      </w:pPr>
    </w:p>
    <w:p>
      <w:pPr>
        <w:pStyle w:val="2"/>
        <w:ind w:firstLine="0" w:firstLineChars="0"/>
        <w:rPr>
          <w:rFonts w:eastAsia="黑体"/>
        </w:rPr>
      </w:pPr>
    </w:p>
    <w:p>
      <w:pPr>
        <w:tabs>
          <w:tab w:val="left" w:pos="5760"/>
          <w:tab w:val="left" w:pos="7560"/>
        </w:tabs>
        <w:spacing w:line="400" w:lineRule="exact"/>
        <w:ind w:firstLine="0" w:firstLineChars="0"/>
        <w:rPr>
          <w:rFonts w:eastAsia="黑体"/>
          <w:b/>
        </w:rPr>
        <w:sectPr>
          <w:headerReference r:id="rId5" w:type="default"/>
          <w:footerReference r:id="rId7" w:type="default"/>
          <w:headerReference r:id="rId6" w:type="even"/>
          <w:footerReference r:id="rId8" w:type="even"/>
          <w:pgSz w:w="16840" w:h="11907" w:orient="landscape"/>
          <w:pgMar w:top="1587" w:right="2098" w:bottom="1474" w:left="1984" w:header="851" w:footer="1417" w:gutter="0"/>
          <w:pgNumType w:fmt="numberInDash"/>
          <w:cols w:space="0" w:num="1"/>
          <w:rtlGutter w:val="0"/>
          <w:docGrid w:type="linesAndChars" w:linePitch="589" w:charSpace="-834"/>
        </w:sectPr>
      </w:pPr>
    </w:p>
    <w:p>
      <w:pPr>
        <w:tabs>
          <w:tab w:val="left" w:pos="5760"/>
          <w:tab w:val="left" w:pos="7560"/>
        </w:tabs>
        <w:spacing w:line="400" w:lineRule="exact"/>
        <w:ind w:firstLine="0" w:firstLineChars="0"/>
        <w:rPr>
          <w:rFonts w:hint="eastAsia" w:eastAsia="黑体"/>
          <w:b/>
        </w:rPr>
      </w:pPr>
      <w:r>
        <w:rPr>
          <w:rFonts w:eastAsia="黑体"/>
          <w:b/>
        </w:rPr>
        <w:t>附件2</w:t>
      </w:r>
    </w:p>
    <w:p>
      <w:pPr>
        <w:spacing w:line="400" w:lineRule="exact"/>
        <w:ind w:firstLine="712"/>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lang w:eastAsia="zh-CN"/>
        </w:rPr>
        <w:t>南充龙门中学</w:t>
      </w:r>
      <w:r>
        <w:rPr>
          <w:rFonts w:hint="eastAsia" w:ascii="方正小标宋简体" w:hAnsi="方正小标宋简体" w:eastAsia="方正小标宋简体" w:cs="方正小标宋简体"/>
          <w:bCs/>
          <w:sz w:val="36"/>
          <w:szCs w:val="36"/>
        </w:rPr>
        <w:t>2022年度</w:t>
      </w:r>
      <w:r>
        <w:rPr>
          <w:rFonts w:hint="eastAsia" w:ascii="方正小标宋简体" w:hAnsi="方正小标宋简体" w:eastAsia="方正小标宋简体" w:cs="方正小标宋简体"/>
          <w:sz w:val="36"/>
          <w:szCs w:val="36"/>
        </w:rPr>
        <w:t>“嘉陵江英才工程”</w:t>
      </w:r>
    </w:p>
    <w:p>
      <w:pPr>
        <w:spacing w:line="400" w:lineRule="exact"/>
        <w:ind w:firstLine="890" w:firstLineChars="250"/>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引才考核招聘新冠肺炎疫情防控告知暨承诺书</w:t>
      </w:r>
    </w:p>
    <w:p>
      <w:pPr>
        <w:spacing w:line="240" w:lineRule="exact"/>
        <w:ind w:firstLine="352"/>
        <w:rPr>
          <w:rFonts w:ascii="方正仿宋简体" w:hAnsi="方正仿宋简体" w:cs="方正仿宋简体"/>
          <w:bCs/>
          <w:sz w:val="18"/>
          <w:szCs w:val="18"/>
        </w:rPr>
      </w:pPr>
    </w:p>
    <w:p>
      <w:pPr>
        <w:spacing w:line="240" w:lineRule="exact"/>
        <w:ind w:firstLine="474"/>
        <w:rPr>
          <w:b/>
          <w:sz w:val="24"/>
        </w:rPr>
      </w:pPr>
      <w:r>
        <w:rPr>
          <w:b/>
          <w:sz w:val="24"/>
        </w:rPr>
        <w:t>一、考生在笔（面）试前通过微信小程序“国家政务服务平台”及“四川天府健康通”申领本人防疫健康码，并于考前15天起持续关注健康码状态。经现场测量体温正常（＜37.3℃）且本人防疫健康码显示为绿码者，方可进入考点。参加面试的考生自备一次性医用口罩，除核验身份时按要求临时摘除口罩外，进出考点、参加考试应当全程佩戴口罩。</w:t>
      </w:r>
    </w:p>
    <w:p>
      <w:pPr>
        <w:spacing w:line="240" w:lineRule="exact"/>
        <w:ind w:firstLine="474"/>
        <w:rPr>
          <w:b/>
          <w:sz w:val="24"/>
        </w:rPr>
      </w:pPr>
      <w:r>
        <w:rPr>
          <w:b/>
          <w:sz w:val="24"/>
        </w:rPr>
        <w:t>二、考生赴考时如乘坐公共交通工具，需要全程佩戴口罩，可佩戴一次性手套，并做好手部卫生，同时注意社交距离。</w:t>
      </w:r>
    </w:p>
    <w:p>
      <w:pPr>
        <w:spacing w:line="240" w:lineRule="exact"/>
        <w:ind w:firstLine="474"/>
        <w:rPr>
          <w:b/>
          <w:sz w:val="24"/>
        </w:rPr>
      </w:pPr>
      <w:r>
        <w:rPr>
          <w:b/>
          <w:sz w:val="24"/>
        </w:rPr>
        <w:t>三、笔（面）试当天入场时因体温异常、咳嗽等症状，经现场医务人员确认有呼吸道异常症状的考生，不再参加此次</w:t>
      </w:r>
      <w:r>
        <w:rPr>
          <w:rFonts w:hint="eastAsia"/>
          <w:b/>
          <w:sz w:val="24"/>
          <w:lang w:eastAsia="zh-CN"/>
        </w:rPr>
        <w:t>考</w:t>
      </w:r>
      <w:r>
        <w:rPr>
          <w:b/>
          <w:sz w:val="24"/>
        </w:rPr>
        <w:t>试。</w:t>
      </w:r>
    </w:p>
    <w:p>
      <w:pPr>
        <w:spacing w:line="240" w:lineRule="exact"/>
        <w:ind w:firstLine="474"/>
        <w:rPr>
          <w:b/>
          <w:sz w:val="24"/>
        </w:rPr>
      </w:pPr>
      <w:r>
        <w:rPr>
          <w:b/>
          <w:sz w:val="24"/>
        </w:rPr>
        <w:t>四、为避免影响考试，来自国（境）外地区的考生，考前应至少提前22天入境，按照疫情防控有关规定，接受相应隔离观察、健康管理和核酸检测。来自国内地区的考生，要求如下：</w:t>
      </w:r>
    </w:p>
    <w:p>
      <w:pPr>
        <w:spacing w:line="240" w:lineRule="exact"/>
        <w:ind w:firstLine="474"/>
        <w:rPr>
          <w:b/>
          <w:sz w:val="24"/>
        </w:rPr>
      </w:pPr>
      <w:r>
        <w:rPr>
          <w:b/>
          <w:sz w:val="24"/>
        </w:rPr>
        <w:t>（一）</w:t>
      </w:r>
      <w:r>
        <w:rPr>
          <w:rFonts w:hint="eastAsia"/>
          <w:b/>
          <w:sz w:val="24"/>
        </w:rPr>
        <w:t>14天内有中高风险地区旅居史、7天内有中高风险地区所在乡镇（街道）旅居史、7天内有中高风险地区所在县（市、区、旗）其他乡镇（街道）旅居史（不含直辖市），正在实施集中隔离、居家隔离及居家健康监测的考生</w:t>
      </w:r>
      <w:bookmarkStart w:id="0" w:name="_GoBack"/>
      <w:bookmarkEnd w:id="0"/>
      <w:r>
        <w:rPr>
          <w:b/>
          <w:sz w:val="24"/>
        </w:rPr>
        <w:t>，不得参加本次考试；</w:t>
      </w:r>
    </w:p>
    <w:p>
      <w:pPr>
        <w:spacing w:line="240" w:lineRule="exact"/>
        <w:ind w:firstLine="474"/>
        <w:rPr>
          <w:b/>
          <w:sz w:val="24"/>
        </w:rPr>
      </w:pPr>
      <w:r>
        <w:rPr>
          <w:b/>
          <w:sz w:val="24"/>
        </w:rPr>
        <w:t>（二）14天内有中高风险地区所在地级市和直辖市、省会城市所在区旅居史，以及公布本土新增感染者但暂未划定中高风险地区所在地级市和直辖市、省会城市所在区旅居史的来（返）川考生，需提供3天内2次（采样时间间隔24小时，资格审查前三天）新冠病毒核酸检测阴性证明；</w:t>
      </w:r>
    </w:p>
    <w:p>
      <w:pPr>
        <w:spacing w:line="240" w:lineRule="exact"/>
        <w:ind w:firstLine="474"/>
        <w:rPr>
          <w:b/>
          <w:sz w:val="24"/>
        </w:rPr>
      </w:pPr>
      <w:r>
        <w:rPr>
          <w:b/>
          <w:sz w:val="24"/>
        </w:rPr>
        <w:t>（三）14天内有本土新冠病例和无症状感染者报告省份（自治区、直辖市）旅居史的来（返）川考生，需提供48小时内新冠病毒核酸检测阴性证明；</w:t>
      </w:r>
    </w:p>
    <w:p>
      <w:pPr>
        <w:spacing w:line="240" w:lineRule="exact"/>
        <w:ind w:firstLine="474"/>
        <w:rPr>
          <w:b/>
          <w:sz w:val="24"/>
        </w:rPr>
      </w:pPr>
      <w:r>
        <w:rPr>
          <w:b/>
          <w:sz w:val="24"/>
        </w:rPr>
        <w:t>（四）被判定为密切接触者或者次密接者的考生，在结束隔离观察后才可以参加考试，并于考试当天提供48小时内新冠病毒核酸检测阴性证明。</w:t>
      </w:r>
    </w:p>
    <w:p>
      <w:pPr>
        <w:spacing w:line="240" w:lineRule="exact"/>
        <w:ind w:firstLine="474"/>
        <w:rPr>
          <w:b/>
          <w:sz w:val="24"/>
        </w:rPr>
      </w:pPr>
      <w:r>
        <w:rPr>
          <w:b/>
          <w:sz w:val="24"/>
        </w:rPr>
        <w:t>五、资格审查及每场考试前，在考点入场检测处，考生要提前准备好当天本人防疫健康码（绿码）和通信大数据行程卡（绿码）、考核通知书、有效居民身份证以及48小时内新冠病毒核酸检测阴性报告证明（纸质版、电子版均可，下同），并配合工作人员做好入场扫码和体温检测准备。核酸检测报告时间以出具时间为准，非采样时间或报告打印时间。</w:t>
      </w:r>
    </w:p>
    <w:p>
      <w:pPr>
        <w:spacing w:line="240" w:lineRule="exact"/>
        <w:ind w:firstLine="474"/>
        <w:rPr>
          <w:b/>
          <w:sz w:val="24"/>
        </w:rPr>
      </w:pPr>
      <w:r>
        <w:rPr>
          <w:b/>
          <w:sz w:val="24"/>
        </w:rPr>
        <w:t>六、考生如因有相关旅居史、密切接触史等流行病学史被集中隔离或居家隔离，考试当天无法到达考点的，视为主动放弃考试资格。仍处于新冠肺炎治疗期或出院观察期，以及其他个人原因无法参加考试的考生，视为主动放弃考试资格。</w:t>
      </w:r>
    </w:p>
    <w:p>
      <w:pPr>
        <w:spacing w:line="240" w:lineRule="exact"/>
        <w:ind w:firstLine="474"/>
        <w:rPr>
          <w:b/>
          <w:sz w:val="24"/>
        </w:rPr>
      </w:pPr>
      <w:r>
        <w:rPr>
          <w:b/>
          <w:sz w:val="24"/>
        </w:rPr>
        <w:t>七、考生在领取考核通知书前须签署《</w:t>
      </w:r>
      <w:r>
        <w:rPr>
          <w:rFonts w:hint="eastAsia"/>
          <w:b/>
          <w:sz w:val="24"/>
          <w:lang w:eastAsia="zh-CN"/>
        </w:rPr>
        <w:t>南充龙门中学</w:t>
      </w:r>
      <w:r>
        <w:rPr>
          <w:b/>
          <w:sz w:val="24"/>
        </w:rPr>
        <w:t>“嘉陵江英才工程”2022年度引才考核招聘新冠肺炎疫情防控告知暨承诺书》，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spacing w:line="240" w:lineRule="exact"/>
        <w:ind w:firstLine="474"/>
        <w:rPr>
          <w:rFonts w:hint="eastAsia"/>
          <w:b/>
          <w:sz w:val="24"/>
        </w:rPr>
      </w:pPr>
    </w:p>
    <w:p>
      <w:pPr>
        <w:spacing w:line="240" w:lineRule="exact"/>
        <w:ind w:firstLine="474"/>
        <w:rPr>
          <w:rFonts w:hint="eastAsia" w:eastAsia="方正仿宋简体"/>
          <w:b/>
          <w:sz w:val="24"/>
          <w:lang w:eastAsia="zh-CN"/>
        </w:rPr>
      </w:pPr>
      <w:r>
        <w:rPr>
          <w:b/>
          <w:sz w:val="24"/>
        </w:rPr>
        <w:t xml:space="preserve">                                                   </w:t>
      </w:r>
      <w:r>
        <w:rPr>
          <w:rFonts w:hint="eastAsia"/>
          <w:b/>
          <w:sz w:val="24"/>
          <w:lang w:eastAsia="zh-CN"/>
        </w:rPr>
        <w:t>南充龙门中学</w:t>
      </w:r>
    </w:p>
    <w:p>
      <w:pPr>
        <w:spacing w:line="240" w:lineRule="exact"/>
        <w:ind w:firstLine="474"/>
        <w:rPr>
          <w:b/>
          <w:sz w:val="24"/>
        </w:rPr>
      </w:pPr>
      <w:r>
        <w:rPr>
          <w:b/>
          <w:sz w:val="24"/>
        </w:rPr>
        <w:t xml:space="preserve">                                                   2022年</w:t>
      </w:r>
      <w:r>
        <w:rPr>
          <w:rFonts w:hint="eastAsia"/>
          <w:b/>
          <w:sz w:val="24"/>
        </w:rPr>
        <w:t xml:space="preserve"> </w:t>
      </w:r>
      <w:r>
        <w:rPr>
          <w:b/>
          <w:sz w:val="24"/>
        </w:rPr>
        <w:t>月</w:t>
      </w:r>
      <w:r>
        <w:rPr>
          <w:rFonts w:hint="eastAsia"/>
          <w:b/>
          <w:sz w:val="24"/>
        </w:rPr>
        <w:t xml:space="preserve"> </w:t>
      </w:r>
      <w:r>
        <w:rPr>
          <w:b/>
          <w:sz w:val="24"/>
        </w:rPr>
        <w:t>日</w:t>
      </w:r>
    </w:p>
    <w:p>
      <w:pPr>
        <w:spacing w:line="240" w:lineRule="exact"/>
        <w:ind w:firstLine="474"/>
        <w:rPr>
          <w:b/>
          <w:sz w:val="24"/>
        </w:rPr>
      </w:pPr>
      <w:r>
        <w:rPr>
          <w:b/>
          <w:sz w:val="24"/>
        </w:rPr>
        <w:t>................................................................................................................................................</w:t>
      </w:r>
    </w:p>
    <w:p>
      <w:pPr>
        <w:spacing w:line="240" w:lineRule="exact"/>
        <w:ind w:firstLine="474"/>
        <w:rPr>
          <w:b/>
          <w:sz w:val="24"/>
        </w:rPr>
      </w:pPr>
      <w:r>
        <w:rPr>
          <w:b/>
          <w:sz w:val="24"/>
        </w:rPr>
        <w:t>本人已认真阅读《</w:t>
      </w:r>
      <w:r>
        <w:rPr>
          <w:rFonts w:hint="eastAsia"/>
          <w:b/>
          <w:sz w:val="24"/>
          <w:lang w:eastAsia="zh-CN"/>
        </w:rPr>
        <w:t>南充龙门中学</w:t>
      </w:r>
      <w:r>
        <w:rPr>
          <w:b/>
          <w:sz w:val="24"/>
        </w:rPr>
        <w:t>“嘉陵江英才工程”2022年度引才考核招聘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pStyle w:val="2"/>
        <w:spacing w:line="240" w:lineRule="exact"/>
        <w:ind w:firstLine="472"/>
        <w:rPr>
          <w:b w:val="0"/>
          <w:bCs w:val="0"/>
          <w:sz w:val="24"/>
          <w:szCs w:val="24"/>
        </w:rPr>
      </w:pPr>
    </w:p>
    <w:p>
      <w:pPr>
        <w:pStyle w:val="2"/>
        <w:spacing w:line="240" w:lineRule="exact"/>
        <w:ind w:firstLine="474"/>
        <w:rPr>
          <w:b w:val="0"/>
          <w:bCs w:val="0"/>
          <w:sz w:val="24"/>
          <w:szCs w:val="24"/>
        </w:rPr>
      </w:pPr>
      <w:r>
        <w:rPr>
          <w:bCs w:val="0"/>
          <w:sz w:val="24"/>
          <w:szCs w:val="24"/>
        </w:rPr>
        <w:t xml:space="preserve">                                                 承诺人（签字）：</w:t>
      </w:r>
    </w:p>
    <w:p>
      <w:pPr>
        <w:pStyle w:val="2"/>
        <w:spacing w:line="240" w:lineRule="exact"/>
        <w:ind w:firstLine="474"/>
        <w:rPr>
          <w:rFonts w:hint="eastAsia"/>
          <w:b w:val="0"/>
          <w:bCs w:val="0"/>
          <w:kern w:val="0"/>
          <w:sz w:val="24"/>
          <w:szCs w:val="24"/>
        </w:rPr>
      </w:pPr>
      <w:r>
        <w:rPr>
          <w:bCs w:val="0"/>
          <w:sz w:val="24"/>
          <w:szCs w:val="24"/>
        </w:rPr>
        <w:t xml:space="preserve">                                               2022年    月    日</w:t>
      </w:r>
    </w:p>
    <w:sectPr>
      <w:pgSz w:w="11907" w:h="16840"/>
      <w:pgMar w:top="2098" w:right="1474" w:bottom="1984" w:left="1587" w:header="851" w:footer="1417" w:gutter="0"/>
      <w:pgNumType w:fmt="numberInDash"/>
      <w:cols w:space="0" w:num="1"/>
      <w:rtlGutter w:val="0"/>
      <w:docGrid w:type="linesAndChars" w:linePitch="589"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jc w:val="right"/>
      <w:rPr>
        <w:b/>
        <w:bCs/>
        <w:sz w:val="24"/>
        <w:szCs w:val="24"/>
      </w:rPr>
    </w:pPr>
    <w:r>
      <w:rPr>
        <w:b/>
        <w:bCs/>
        <w:sz w:val="24"/>
        <w:szCs w:val="24"/>
      </w:rPr>
      <w:fldChar w:fldCharType="begin"/>
    </w:r>
    <w:r>
      <w:rPr>
        <w:b/>
        <w:bCs/>
        <w:sz w:val="24"/>
        <w:szCs w:val="24"/>
      </w:rPr>
      <w:instrText xml:space="preserve">PAGE   \* MERGEFORMAT</w:instrText>
    </w:r>
    <w:r>
      <w:rPr>
        <w:b/>
        <w:bCs/>
        <w:sz w:val="24"/>
        <w:szCs w:val="24"/>
      </w:rPr>
      <w:fldChar w:fldCharType="separate"/>
    </w:r>
    <w:r>
      <w:rPr>
        <w:b/>
        <w:bCs/>
        <w:sz w:val="24"/>
        <w:szCs w:val="24"/>
        <w:lang w:val="zh-CN"/>
      </w:rPr>
      <w:t>2</w:t>
    </w:r>
    <w:r>
      <w:rPr>
        <w:b/>
        <w:bCs/>
        <w:sz w:val="24"/>
        <w:szCs w:val="24"/>
      </w:rPr>
      <w:fldChar w:fldCharType="end"/>
    </w:r>
  </w:p>
  <w:p>
    <w:pPr>
      <w:pStyle w:val="3"/>
      <w:ind w:firstLine="562"/>
      <w:jc w:val="right"/>
      <w:rPr>
        <w:rFonts w:hint="eastAsia"/>
        <w:b/>
        <w:bCs/>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2"/>
      <w:rPr>
        <w:b/>
        <w:bCs/>
        <w:sz w:val="24"/>
        <w:szCs w:val="24"/>
      </w:rPr>
    </w:pPr>
    <w:r>
      <w:rPr>
        <w:b/>
        <w:bCs/>
        <w:sz w:val="24"/>
        <w:szCs w:val="24"/>
      </w:rPr>
      <w:fldChar w:fldCharType="begin"/>
    </w:r>
    <w:r>
      <w:rPr>
        <w:b/>
        <w:bCs/>
        <w:sz w:val="24"/>
        <w:szCs w:val="24"/>
      </w:rPr>
      <w:instrText xml:space="preserve">PAGE   \* MERGEFORMAT</w:instrText>
    </w:r>
    <w:r>
      <w:rPr>
        <w:b/>
        <w:bCs/>
        <w:sz w:val="24"/>
        <w:szCs w:val="24"/>
      </w:rPr>
      <w:fldChar w:fldCharType="separate"/>
    </w:r>
    <w:r>
      <w:rPr>
        <w:b/>
        <w:bCs/>
        <w:sz w:val="24"/>
        <w:szCs w:val="24"/>
        <w:lang w:val="zh-CN"/>
      </w:rPr>
      <w:t>2</w:t>
    </w:r>
    <w:r>
      <w:rPr>
        <w:b/>
        <w:bCs/>
        <w:sz w:val="24"/>
        <w:szCs w:val="24"/>
      </w:rPr>
      <w:fldChar w:fldCharType="end"/>
    </w:r>
  </w:p>
  <w:p>
    <w:pPr>
      <w:pStyle w:val="3"/>
      <w:ind w:firstLine="562"/>
      <w:rPr>
        <w:rFonts w:hint="eastAsia"/>
        <w:b/>
        <w:b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jA3YWM2ODVjOGY0NGRjZTUzMmVmNTQzZGQxZDMifQ=="/>
  </w:docVars>
  <w:rsids>
    <w:rsidRoot w:val="FFBF7A33"/>
    <w:rsid w:val="0AB35BF7"/>
    <w:rsid w:val="3FD74196"/>
    <w:rsid w:val="72FBFE19"/>
    <w:rsid w:val="FFBF7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方正仿宋简体"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36"/>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1661</Words>
  <Characters>1881</Characters>
  <Lines>0</Lines>
  <Paragraphs>0</Paragraphs>
  <TotalTime>1</TotalTime>
  <ScaleCrop>false</ScaleCrop>
  <LinksUpToDate>false</LinksUpToDate>
  <CharactersWithSpaces>2093</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2022-04-20T19:24:00Z</dcterms:created>
  <dc:creator>user</dc:creator>
  <cp:lastModifiedBy>user</cp:lastModifiedBy>
  <dcterms:modified xsi:type="dcterms:W3CDTF">2022-04-28T09:24:28Z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0F9A7739744D4595919AF58BFF64784E</vt:lpwstr>
  </property>
</Properties>
</file>