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560"/>
        </w:tabs>
        <w:spacing w:line="578" w:lineRule="exact"/>
        <w:ind w:firstLine="634"/>
        <w:rPr>
          <w:rFonts w:hint="eastAsia" w:eastAsia="黑体"/>
          <w:b/>
        </w:rPr>
      </w:pPr>
      <w:r>
        <w:rPr>
          <w:rFonts w:eastAsia="黑体"/>
          <w:b/>
        </w:rPr>
        <w:t>附件1</w:t>
      </w:r>
    </w:p>
    <w:p>
      <w:pPr>
        <w:spacing w:line="400" w:lineRule="exact"/>
        <w:ind w:firstLine="712"/>
        <w:jc w:val="center"/>
        <w:rPr>
          <w:rFonts w:eastAsia="方正小标宋简体"/>
          <w:bCs/>
          <w:color w:val="000000"/>
          <w:kern w:val="0"/>
          <w:sz w:val="36"/>
          <w:szCs w:val="36"/>
        </w:rPr>
      </w:pPr>
      <w:r>
        <w:rPr>
          <w:rFonts w:hint="eastAsia" w:ascii="方正小标宋简体" w:eastAsia="方正小标宋简体"/>
          <w:bCs/>
          <w:color w:val="000000"/>
          <w:kern w:val="0"/>
          <w:sz w:val="36"/>
          <w:szCs w:val="36"/>
        </w:rPr>
        <w:t xml:space="preserve"> “嘉陵江英才工程”</w:t>
      </w:r>
      <w:r>
        <w:rPr>
          <w:rFonts w:eastAsia="方正小标宋简体"/>
          <w:bCs/>
          <w:color w:val="000000"/>
          <w:kern w:val="0"/>
          <w:sz w:val="36"/>
          <w:szCs w:val="36"/>
          <w:lang w:bidi="zh-CN"/>
        </w:rPr>
        <w:t>2022</w:t>
      </w:r>
      <w:r>
        <w:rPr>
          <w:rFonts w:eastAsia="方正小标宋简体"/>
          <w:bCs/>
          <w:color w:val="000000"/>
          <w:kern w:val="0"/>
          <w:sz w:val="36"/>
          <w:szCs w:val="36"/>
        </w:rPr>
        <w:t>年度引才需求信息表</w:t>
      </w:r>
    </w:p>
    <w:tbl>
      <w:tblPr>
        <w:tblStyle w:val="5"/>
        <w:tblW w:w="15008" w:type="dxa"/>
        <w:jc w:val="center"/>
        <w:tblLayout w:type="fixed"/>
        <w:tblCellMar>
          <w:top w:w="0" w:type="dxa"/>
          <w:left w:w="108" w:type="dxa"/>
          <w:bottom w:w="0" w:type="dxa"/>
          <w:right w:w="108" w:type="dxa"/>
        </w:tblCellMar>
      </w:tblPr>
      <w:tblGrid>
        <w:gridCol w:w="833"/>
        <w:gridCol w:w="1418"/>
        <w:gridCol w:w="2074"/>
        <w:gridCol w:w="822"/>
        <w:gridCol w:w="1678"/>
        <w:gridCol w:w="1418"/>
        <w:gridCol w:w="2409"/>
        <w:gridCol w:w="709"/>
        <w:gridCol w:w="1276"/>
        <w:gridCol w:w="2371"/>
      </w:tblGrid>
      <w:tr>
        <w:tblPrEx>
          <w:tblCellMar>
            <w:top w:w="0" w:type="dxa"/>
            <w:left w:w="108" w:type="dxa"/>
            <w:bottom w:w="0" w:type="dxa"/>
            <w:right w:w="108" w:type="dxa"/>
          </w:tblCellMar>
        </w:tblPrEx>
        <w:trPr>
          <w:trHeight w:val="726" w:hRule="exact"/>
          <w:jc w:val="center"/>
        </w:trPr>
        <w:tc>
          <w:tcPr>
            <w:tcW w:w="833"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单位</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名称</w:t>
            </w:r>
          </w:p>
        </w:tc>
        <w:tc>
          <w:tcPr>
            <w:tcW w:w="349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bCs/>
                <w:color w:val="000000"/>
                <w:kern w:val="0"/>
                <w:sz w:val="24"/>
              </w:rPr>
            </w:pPr>
            <w:r>
              <w:rPr>
                <w:bCs/>
                <w:color w:val="000000"/>
                <w:kern w:val="0"/>
                <w:sz w:val="24"/>
              </w:rPr>
              <w:t>南充师范学校</w:t>
            </w:r>
          </w:p>
        </w:tc>
        <w:tc>
          <w:tcPr>
            <w:tcW w:w="822"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单位</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类别</w:t>
            </w:r>
          </w:p>
        </w:tc>
        <w:tc>
          <w:tcPr>
            <w:tcW w:w="167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198" w:firstLineChars="84"/>
              <w:rPr>
                <w:bCs/>
                <w:color w:val="000000"/>
                <w:kern w:val="0"/>
                <w:sz w:val="24"/>
              </w:rPr>
            </w:pPr>
            <w:r>
              <w:rPr>
                <w:bCs/>
                <w:color w:val="000000"/>
                <w:kern w:val="0"/>
                <w:sz w:val="24"/>
              </w:rPr>
              <w:t>事业单位</w:t>
            </w:r>
          </w:p>
        </w:tc>
        <w:tc>
          <w:tcPr>
            <w:tcW w:w="141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316" w:firstLineChars="134"/>
              <w:rPr>
                <w:rFonts w:eastAsia="方正黑体简体"/>
                <w:bCs/>
                <w:color w:val="000000"/>
                <w:kern w:val="0"/>
                <w:sz w:val="24"/>
              </w:rPr>
            </w:pPr>
            <w:r>
              <w:rPr>
                <w:rFonts w:eastAsia="方正黑体简体"/>
                <w:bCs/>
                <w:color w:val="000000"/>
                <w:kern w:val="0"/>
                <w:sz w:val="24"/>
              </w:rPr>
              <w:t>单位</w:t>
            </w:r>
          </w:p>
          <w:p>
            <w:pPr>
              <w:widowControl/>
              <w:spacing w:line="280" w:lineRule="exact"/>
              <w:ind w:firstLine="316" w:firstLineChars="134"/>
              <w:rPr>
                <w:rFonts w:eastAsia="方正黑体简体"/>
                <w:bCs/>
                <w:color w:val="000000"/>
                <w:kern w:val="0"/>
                <w:sz w:val="24"/>
              </w:rPr>
            </w:pPr>
            <w:r>
              <w:rPr>
                <w:rFonts w:eastAsia="方正黑体简体"/>
                <w:bCs/>
                <w:color w:val="000000"/>
                <w:kern w:val="0"/>
                <w:sz w:val="24"/>
              </w:rPr>
              <w:t>网址</w:t>
            </w:r>
          </w:p>
        </w:tc>
        <w:tc>
          <w:tcPr>
            <w:tcW w:w="2409"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bCs/>
                <w:color w:val="000000"/>
                <w:w w:val="90"/>
                <w:kern w:val="0"/>
                <w:sz w:val="24"/>
              </w:rPr>
            </w:pPr>
            <w:r>
              <w:rPr>
                <w:bCs/>
                <w:color w:val="000000"/>
                <w:w w:val="90"/>
                <w:kern w:val="0"/>
                <w:sz w:val="24"/>
              </w:rPr>
              <w:t>http://www.ncsf.com.cn</w:t>
            </w:r>
          </w:p>
        </w:tc>
        <w:tc>
          <w:tcPr>
            <w:tcW w:w="709"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hint="eastAsia" w:eastAsia="方正黑体简体"/>
                <w:bCs/>
                <w:color w:val="000000"/>
                <w:kern w:val="0"/>
                <w:sz w:val="24"/>
              </w:rPr>
            </w:pPr>
            <w:r>
              <w:rPr>
                <w:rFonts w:eastAsia="方正黑体简体"/>
                <w:bCs/>
                <w:color w:val="000000"/>
                <w:kern w:val="0"/>
                <w:sz w:val="24"/>
              </w:rPr>
              <w:t>邮政</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编码</w:t>
            </w:r>
          </w:p>
        </w:tc>
        <w:tc>
          <w:tcPr>
            <w:tcW w:w="3647"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bCs/>
                <w:color w:val="000000"/>
                <w:kern w:val="0"/>
                <w:sz w:val="24"/>
              </w:rPr>
            </w:pPr>
            <w:r>
              <w:rPr>
                <w:bCs/>
                <w:color w:val="000000"/>
                <w:kern w:val="0"/>
                <w:sz w:val="24"/>
              </w:rPr>
              <w:t>637130</w:t>
            </w:r>
          </w:p>
        </w:tc>
      </w:tr>
      <w:tr>
        <w:tblPrEx>
          <w:tblCellMar>
            <w:top w:w="0" w:type="dxa"/>
            <w:left w:w="108" w:type="dxa"/>
            <w:bottom w:w="0" w:type="dxa"/>
            <w:right w:w="108" w:type="dxa"/>
          </w:tblCellMar>
        </w:tblPrEx>
        <w:trPr>
          <w:trHeight w:val="775" w:hRule="exact"/>
          <w:jc w:val="center"/>
        </w:trPr>
        <w:tc>
          <w:tcPr>
            <w:tcW w:w="833"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联系</w:t>
            </w:r>
          </w:p>
          <w:p>
            <w:pPr>
              <w:widowControl/>
              <w:spacing w:line="280" w:lineRule="exact"/>
              <w:ind w:firstLine="118" w:firstLineChars="50"/>
              <w:rPr>
                <w:rFonts w:eastAsia="方正黑体简体"/>
                <w:bCs/>
                <w:color w:val="000000"/>
                <w:kern w:val="0"/>
                <w:sz w:val="24"/>
              </w:rPr>
            </w:pPr>
            <w:r>
              <w:rPr>
                <w:rFonts w:eastAsia="方正黑体简体"/>
                <w:bCs/>
                <w:color w:val="000000"/>
                <w:kern w:val="0"/>
                <w:sz w:val="24"/>
              </w:rPr>
              <w:t>人</w:t>
            </w:r>
          </w:p>
        </w:tc>
        <w:tc>
          <w:tcPr>
            <w:tcW w:w="3492"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bCs/>
                <w:color w:val="000000"/>
                <w:kern w:val="0"/>
                <w:sz w:val="24"/>
              </w:rPr>
            </w:pPr>
            <w:r>
              <w:rPr>
                <w:bCs/>
                <w:color w:val="000000"/>
                <w:kern w:val="0"/>
                <w:sz w:val="24"/>
              </w:rPr>
              <w:t>李加永</w:t>
            </w:r>
          </w:p>
        </w:tc>
        <w:tc>
          <w:tcPr>
            <w:tcW w:w="822"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联系</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电话</w:t>
            </w:r>
          </w:p>
        </w:tc>
        <w:tc>
          <w:tcPr>
            <w:tcW w:w="167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bCs/>
                <w:color w:val="000000"/>
                <w:kern w:val="0"/>
                <w:sz w:val="24"/>
              </w:rPr>
            </w:pPr>
            <w:r>
              <w:rPr>
                <w:rFonts w:eastAsia="方正楷体简体"/>
                <w:color w:val="000000"/>
                <w:kern w:val="0"/>
                <w:sz w:val="24"/>
              </w:rPr>
              <w:t>13808274924</w:t>
            </w:r>
          </w:p>
        </w:tc>
        <w:tc>
          <w:tcPr>
            <w:tcW w:w="141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198" w:firstLineChars="84"/>
              <w:rPr>
                <w:rFonts w:eastAsia="方正黑体简体"/>
                <w:bCs/>
                <w:color w:val="000000"/>
                <w:kern w:val="0"/>
                <w:sz w:val="24"/>
              </w:rPr>
            </w:pPr>
            <w:r>
              <w:rPr>
                <w:rFonts w:eastAsia="方正黑体简体"/>
                <w:bCs/>
                <w:color w:val="000000"/>
                <w:kern w:val="0"/>
                <w:sz w:val="24"/>
              </w:rPr>
              <w:t>E-mail</w:t>
            </w:r>
          </w:p>
        </w:tc>
        <w:tc>
          <w:tcPr>
            <w:tcW w:w="2409"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楷体简体"/>
                <w:color w:val="000000"/>
                <w:kern w:val="0"/>
                <w:sz w:val="24"/>
              </w:rPr>
            </w:pPr>
            <w:r>
              <w:rPr>
                <w:rFonts w:eastAsia="方正楷体简体"/>
                <w:color w:val="000000"/>
                <w:kern w:val="0"/>
                <w:sz w:val="24"/>
              </w:rPr>
              <w:t>2300656908@qq.com</w:t>
            </w:r>
          </w:p>
        </w:tc>
        <w:tc>
          <w:tcPr>
            <w:tcW w:w="709"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通讯</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地址</w:t>
            </w:r>
          </w:p>
        </w:tc>
        <w:tc>
          <w:tcPr>
            <w:tcW w:w="3647" w:type="dxa"/>
            <w:gridSpan w:val="2"/>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jc w:val="left"/>
              <w:rPr>
                <w:bCs/>
                <w:color w:val="000000"/>
                <w:kern w:val="0"/>
                <w:sz w:val="24"/>
              </w:rPr>
            </w:pPr>
            <w:r>
              <w:rPr>
                <w:bCs/>
                <w:color w:val="000000"/>
                <w:kern w:val="0"/>
                <w:sz w:val="24"/>
              </w:rPr>
              <w:t>南充市高坪区龙门街道华龙北路60号</w:t>
            </w:r>
          </w:p>
        </w:tc>
      </w:tr>
      <w:tr>
        <w:tblPrEx>
          <w:tblCellMar>
            <w:top w:w="0" w:type="dxa"/>
            <w:left w:w="108" w:type="dxa"/>
            <w:bottom w:w="0" w:type="dxa"/>
            <w:right w:w="108" w:type="dxa"/>
          </w:tblCellMar>
        </w:tblPrEx>
        <w:trPr>
          <w:trHeight w:val="2083" w:hRule="exact"/>
          <w:jc w:val="center"/>
        </w:trPr>
        <w:tc>
          <w:tcPr>
            <w:tcW w:w="833"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单位</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简介</w:t>
            </w:r>
          </w:p>
        </w:tc>
        <w:tc>
          <w:tcPr>
            <w:tcW w:w="14175" w:type="dxa"/>
            <w:gridSpan w:val="9"/>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472"/>
              <w:jc w:val="left"/>
              <w:rPr>
                <w:bCs/>
                <w:color w:val="000000"/>
                <w:kern w:val="0"/>
                <w:sz w:val="24"/>
              </w:rPr>
            </w:pPr>
            <w:r>
              <w:rPr>
                <w:bCs/>
                <w:color w:val="000000"/>
                <w:kern w:val="0"/>
                <w:sz w:val="24"/>
              </w:rPr>
              <w:t>南充师范学校地处于省级临江新区，是南充市教体局直属的全日制公办重点中等职业学校。校园面积103亩，规划用地300亩，建筑总面积9万平方米，在校学生3000余人。学校风景秀丽宜人，综合楼、钢琴楼、教学楼等错落有致，公寓、食堂、超市等一应俱全。学校设施完善，名师荟萃。学校网络接入总带宽3000M，</w:t>
            </w:r>
            <w:r>
              <w:rPr>
                <w:rFonts w:hint="eastAsia"/>
                <w:bCs/>
                <w:color w:val="000000"/>
                <w:kern w:val="0"/>
                <w:sz w:val="24"/>
              </w:rPr>
              <w:t>无</w:t>
            </w:r>
            <w:r>
              <w:rPr>
                <w:bCs/>
                <w:color w:val="000000"/>
                <w:kern w:val="0"/>
                <w:sz w:val="24"/>
              </w:rPr>
              <w:t>线WIFI校园全覆盖。建成安防、网络、广播、监控四大系统，有心理成长指导中心、学生艺术活动中心、数控铣削车间、CAD/CAM应用中心、幼儿保育实训中心、西点烹饪实训室、休闲体育实训室、舞蹈实训室、计算机云机房等设施设备。学校现主要开设有五年一贯制学前教育、计算机应用、数控技术应用专业，三年制学前教育（幼儿保育）、舞蹈表演、计算机应用、数控技术应用、休闲体育服务与管理、西餐烹饪专业。</w:t>
            </w:r>
          </w:p>
        </w:tc>
      </w:tr>
      <w:tr>
        <w:tblPrEx>
          <w:tblCellMar>
            <w:top w:w="0" w:type="dxa"/>
            <w:left w:w="108" w:type="dxa"/>
            <w:bottom w:w="0" w:type="dxa"/>
            <w:right w:w="108" w:type="dxa"/>
          </w:tblCellMar>
        </w:tblPrEx>
        <w:trPr>
          <w:trHeight w:val="728" w:hRule="exact"/>
          <w:jc w:val="center"/>
        </w:trPr>
        <w:tc>
          <w:tcPr>
            <w:tcW w:w="833" w:type="dxa"/>
            <w:tcBorders>
              <w:top w:val="nil"/>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序号</w:t>
            </w:r>
          </w:p>
        </w:tc>
        <w:tc>
          <w:tcPr>
            <w:tcW w:w="141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118" w:firstLineChars="50"/>
              <w:rPr>
                <w:rFonts w:eastAsia="方正黑体简体"/>
                <w:bCs/>
                <w:color w:val="000000"/>
                <w:kern w:val="0"/>
                <w:sz w:val="24"/>
              </w:rPr>
            </w:pPr>
            <w:r>
              <w:rPr>
                <w:rFonts w:eastAsia="方正黑体简体"/>
                <w:bCs/>
                <w:color w:val="000000"/>
                <w:kern w:val="0"/>
                <w:sz w:val="24"/>
              </w:rPr>
              <w:t>引进岗位</w:t>
            </w:r>
          </w:p>
        </w:tc>
        <w:tc>
          <w:tcPr>
            <w:tcW w:w="2896" w:type="dxa"/>
            <w:gridSpan w:val="2"/>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1180" w:firstLineChars="500"/>
              <w:rPr>
                <w:rFonts w:eastAsia="方正黑体简体"/>
                <w:bCs/>
                <w:color w:val="000000"/>
                <w:kern w:val="0"/>
                <w:sz w:val="24"/>
              </w:rPr>
            </w:pPr>
            <w:r>
              <w:rPr>
                <w:rFonts w:eastAsia="方正黑体简体"/>
                <w:bCs/>
                <w:color w:val="000000"/>
                <w:kern w:val="0"/>
                <w:sz w:val="24"/>
              </w:rPr>
              <w:t>专业</w:t>
            </w:r>
          </w:p>
        </w:tc>
        <w:tc>
          <w:tcPr>
            <w:tcW w:w="167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hint="eastAsia" w:eastAsia="方正黑体简体"/>
                <w:bCs/>
                <w:color w:val="000000"/>
                <w:kern w:val="0"/>
                <w:sz w:val="24"/>
              </w:rPr>
              <w:t xml:space="preserve"> </w:t>
            </w:r>
            <w:r>
              <w:rPr>
                <w:rFonts w:eastAsia="方正黑体简体"/>
                <w:bCs/>
                <w:color w:val="000000"/>
                <w:kern w:val="0"/>
                <w:sz w:val="24"/>
              </w:rPr>
              <w:t xml:space="preserve"> 职务职称</w:t>
            </w:r>
          </w:p>
          <w:p>
            <w:pPr>
              <w:widowControl/>
              <w:spacing w:line="280" w:lineRule="exact"/>
              <w:ind w:firstLine="434" w:firstLineChars="184"/>
              <w:rPr>
                <w:rFonts w:eastAsia="方正黑体简体"/>
                <w:bCs/>
                <w:color w:val="000000"/>
                <w:kern w:val="0"/>
                <w:sz w:val="24"/>
              </w:rPr>
            </w:pPr>
            <w:r>
              <w:rPr>
                <w:rFonts w:eastAsia="方正黑体简体"/>
                <w:bCs/>
                <w:color w:val="000000"/>
                <w:kern w:val="0"/>
                <w:sz w:val="24"/>
              </w:rPr>
              <w:t>要求</w:t>
            </w:r>
          </w:p>
        </w:tc>
        <w:tc>
          <w:tcPr>
            <w:tcW w:w="1418"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118" w:firstLineChars="50"/>
              <w:rPr>
                <w:rFonts w:eastAsia="方正黑体简体"/>
                <w:bCs/>
                <w:color w:val="000000"/>
                <w:kern w:val="0"/>
                <w:sz w:val="24"/>
              </w:rPr>
            </w:pPr>
            <w:r>
              <w:rPr>
                <w:rFonts w:eastAsia="方正黑体简体"/>
                <w:bCs/>
                <w:color w:val="000000"/>
                <w:kern w:val="0"/>
                <w:sz w:val="24"/>
              </w:rPr>
              <w:t>学历学位</w:t>
            </w:r>
          </w:p>
          <w:p>
            <w:pPr>
              <w:widowControl/>
              <w:spacing w:line="280" w:lineRule="exact"/>
              <w:ind w:firstLine="316" w:firstLineChars="134"/>
              <w:rPr>
                <w:rFonts w:eastAsia="方正黑体简体"/>
                <w:bCs/>
                <w:color w:val="000000"/>
                <w:kern w:val="0"/>
                <w:sz w:val="24"/>
              </w:rPr>
            </w:pPr>
            <w:r>
              <w:rPr>
                <w:rFonts w:eastAsia="方正黑体简体"/>
                <w:bCs/>
                <w:color w:val="000000"/>
                <w:kern w:val="0"/>
                <w:sz w:val="24"/>
              </w:rPr>
              <w:t>要求</w:t>
            </w:r>
          </w:p>
        </w:tc>
        <w:tc>
          <w:tcPr>
            <w:tcW w:w="2409"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590" w:firstLineChars="250"/>
              <w:rPr>
                <w:rFonts w:eastAsia="方正黑体简体"/>
                <w:bCs/>
                <w:color w:val="000000"/>
                <w:kern w:val="0"/>
                <w:sz w:val="24"/>
              </w:rPr>
            </w:pPr>
            <w:r>
              <w:rPr>
                <w:rFonts w:eastAsia="方正黑体简体"/>
                <w:bCs/>
                <w:color w:val="000000"/>
                <w:kern w:val="0"/>
                <w:sz w:val="24"/>
              </w:rPr>
              <w:t>其他要求</w:t>
            </w:r>
          </w:p>
        </w:tc>
        <w:tc>
          <w:tcPr>
            <w:tcW w:w="709"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hint="eastAsia" w:eastAsia="方正黑体简体"/>
                <w:bCs/>
                <w:color w:val="000000"/>
                <w:kern w:val="0"/>
                <w:sz w:val="24"/>
              </w:rPr>
            </w:pPr>
            <w:r>
              <w:rPr>
                <w:rFonts w:eastAsia="方正黑体简体"/>
                <w:bCs/>
                <w:color w:val="000000"/>
                <w:kern w:val="0"/>
                <w:sz w:val="24"/>
              </w:rPr>
              <w:t>需求</w:t>
            </w:r>
          </w:p>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人数</w:t>
            </w:r>
          </w:p>
        </w:tc>
        <w:tc>
          <w:tcPr>
            <w:tcW w:w="1276"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316" w:firstLineChars="134"/>
              <w:rPr>
                <w:rFonts w:hint="eastAsia" w:eastAsia="方正黑体简体"/>
                <w:bCs/>
                <w:color w:val="000000"/>
                <w:kern w:val="0"/>
                <w:sz w:val="24"/>
              </w:rPr>
            </w:pPr>
            <w:r>
              <w:rPr>
                <w:rFonts w:eastAsia="方正黑体简体"/>
                <w:bCs/>
                <w:color w:val="000000"/>
                <w:kern w:val="0"/>
                <w:sz w:val="24"/>
              </w:rPr>
              <w:t>引进</w:t>
            </w:r>
          </w:p>
          <w:p>
            <w:pPr>
              <w:widowControl/>
              <w:spacing w:line="280" w:lineRule="exact"/>
              <w:ind w:firstLine="316" w:firstLineChars="134"/>
              <w:rPr>
                <w:rFonts w:eastAsia="方正黑体简体"/>
                <w:bCs/>
                <w:color w:val="000000"/>
                <w:kern w:val="0"/>
                <w:sz w:val="24"/>
              </w:rPr>
            </w:pPr>
            <w:r>
              <w:rPr>
                <w:rFonts w:eastAsia="方正黑体简体"/>
                <w:bCs/>
                <w:color w:val="000000"/>
                <w:kern w:val="0"/>
                <w:sz w:val="24"/>
              </w:rPr>
              <w:t>方式</w:t>
            </w:r>
          </w:p>
        </w:tc>
        <w:tc>
          <w:tcPr>
            <w:tcW w:w="2371" w:type="dxa"/>
            <w:tcBorders>
              <w:top w:val="nil"/>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rFonts w:eastAsia="方正黑体简体"/>
                <w:bCs/>
                <w:color w:val="000000"/>
                <w:kern w:val="0"/>
                <w:sz w:val="24"/>
              </w:rPr>
            </w:pPr>
            <w:r>
              <w:rPr>
                <w:rFonts w:eastAsia="方正黑体简体"/>
                <w:bCs/>
                <w:color w:val="000000"/>
                <w:kern w:val="0"/>
                <w:sz w:val="24"/>
              </w:rPr>
              <w:t>提供薪酬、生活待遇</w:t>
            </w:r>
          </w:p>
          <w:p>
            <w:pPr>
              <w:widowControl/>
              <w:spacing w:line="280" w:lineRule="exact"/>
              <w:ind w:firstLine="198" w:firstLineChars="84"/>
              <w:rPr>
                <w:rFonts w:eastAsia="方正黑体简体"/>
                <w:bCs/>
                <w:color w:val="000000"/>
                <w:kern w:val="0"/>
                <w:sz w:val="24"/>
              </w:rPr>
            </w:pPr>
            <w:r>
              <w:rPr>
                <w:rFonts w:eastAsia="方正黑体简体"/>
                <w:bCs/>
                <w:color w:val="000000"/>
                <w:kern w:val="0"/>
                <w:sz w:val="24"/>
              </w:rPr>
              <w:t>或其他优惠条件</w:t>
            </w:r>
          </w:p>
        </w:tc>
      </w:tr>
      <w:tr>
        <w:tblPrEx>
          <w:tblCellMar>
            <w:top w:w="0" w:type="dxa"/>
            <w:left w:w="108" w:type="dxa"/>
            <w:bottom w:w="0" w:type="dxa"/>
            <w:right w:w="108" w:type="dxa"/>
          </w:tblCellMar>
        </w:tblPrEx>
        <w:trPr>
          <w:trHeight w:val="1221" w:hRule="exact"/>
          <w:jc w:val="center"/>
        </w:trPr>
        <w:tc>
          <w:tcPr>
            <w:tcW w:w="833"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198" w:firstLineChars="84"/>
              <w:rPr>
                <w:color w:val="000000"/>
                <w:kern w:val="0"/>
                <w:sz w:val="24"/>
              </w:rPr>
            </w:pPr>
            <w:r>
              <w:rPr>
                <w:rFonts w:hint="eastAsia"/>
                <w:color w:val="000000"/>
                <w:kern w:val="0"/>
                <w:sz w:val="24"/>
              </w:rPr>
              <w:t>1</w:t>
            </w:r>
          </w:p>
        </w:tc>
        <w:tc>
          <w:tcPr>
            <w:tcW w:w="141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color w:val="000000"/>
                <w:kern w:val="0"/>
                <w:sz w:val="24"/>
              </w:rPr>
            </w:pPr>
            <w:r>
              <w:rPr>
                <w:color w:val="000000"/>
                <w:kern w:val="0"/>
                <w:sz w:val="24"/>
              </w:rPr>
              <w:t>计算机教师</w:t>
            </w:r>
          </w:p>
        </w:tc>
        <w:tc>
          <w:tcPr>
            <w:tcW w:w="2896" w:type="dxa"/>
            <w:gridSpan w:val="2"/>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color w:val="000000"/>
                <w:kern w:val="0"/>
                <w:sz w:val="24"/>
              </w:rPr>
            </w:pPr>
            <w:r>
              <w:rPr>
                <w:color w:val="000000"/>
                <w:kern w:val="0"/>
                <w:sz w:val="24"/>
              </w:rPr>
              <w:t>计算机科学与技术</w:t>
            </w:r>
            <w:r>
              <w:rPr>
                <w:rFonts w:hint="eastAsia"/>
                <w:color w:val="000000"/>
                <w:kern w:val="0"/>
                <w:sz w:val="24"/>
              </w:rPr>
              <w:t>、</w:t>
            </w:r>
            <w:r>
              <w:rPr>
                <w:color w:val="000000"/>
                <w:kern w:val="0"/>
                <w:sz w:val="24"/>
              </w:rPr>
              <w:t>现代教育技术</w:t>
            </w:r>
          </w:p>
        </w:tc>
        <w:tc>
          <w:tcPr>
            <w:tcW w:w="1678"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color w:val="000000"/>
                <w:kern w:val="0"/>
                <w:sz w:val="24"/>
              </w:rPr>
            </w:pPr>
          </w:p>
        </w:tc>
        <w:tc>
          <w:tcPr>
            <w:tcW w:w="1418"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color w:val="000000"/>
                <w:kern w:val="0"/>
                <w:sz w:val="24"/>
              </w:rPr>
            </w:pPr>
            <w:r>
              <w:rPr>
                <w:bCs/>
                <w:color w:val="000000"/>
                <w:kern w:val="0"/>
                <w:sz w:val="24"/>
              </w:rPr>
              <w:t>硕士研究生及以上</w:t>
            </w:r>
            <w:r>
              <w:rPr>
                <w:rFonts w:hint="eastAsia"/>
                <w:bCs/>
                <w:color w:val="000000"/>
                <w:kern w:val="0"/>
                <w:sz w:val="24"/>
              </w:rPr>
              <w:t>学历且取得相应学位</w:t>
            </w:r>
          </w:p>
        </w:tc>
        <w:tc>
          <w:tcPr>
            <w:tcW w:w="2409"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jc w:val="left"/>
              <w:rPr>
                <w:bCs/>
                <w:color w:val="000000"/>
                <w:kern w:val="0"/>
                <w:sz w:val="24"/>
              </w:rPr>
            </w:pPr>
            <w:r>
              <w:rPr>
                <w:bCs/>
                <w:color w:val="000000"/>
                <w:kern w:val="0"/>
                <w:sz w:val="24"/>
              </w:rPr>
              <w:t>年龄不超过</w:t>
            </w:r>
            <w:r>
              <w:rPr>
                <w:rFonts w:hint="eastAsia"/>
                <w:bCs/>
                <w:color w:val="000000"/>
                <w:kern w:val="0"/>
                <w:sz w:val="24"/>
              </w:rPr>
              <w:t>35</w:t>
            </w:r>
            <w:r>
              <w:rPr>
                <w:bCs/>
                <w:color w:val="000000"/>
                <w:kern w:val="0"/>
                <w:sz w:val="24"/>
              </w:rPr>
              <w:t>周岁</w:t>
            </w:r>
          </w:p>
        </w:tc>
        <w:tc>
          <w:tcPr>
            <w:tcW w:w="709"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198" w:firstLineChars="84"/>
              <w:rPr>
                <w:color w:val="000000"/>
                <w:kern w:val="0"/>
                <w:sz w:val="24"/>
              </w:rPr>
            </w:pPr>
            <w:r>
              <w:rPr>
                <w:color w:val="000000"/>
                <w:kern w:val="0"/>
                <w:sz w:val="24"/>
              </w:rPr>
              <w:t>1</w:t>
            </w:r>
          </w:p>
        </w:tc>
        <w:tc>
          <w:tcPr>
            <w:tcW w:w="1276" w:type="dxa"/>
            <w:tcBorders>
              <w:top w:val="single" w:color="auto" w:sz="4" w:space="0"/>
              <w:left w:val="nil"/>
              <w:bottom w:val="single" w:color="auto" w:sz="4" w:space="0"/>
              <w:right w:val="single" w:color="auto" w:sz="4" w:space="0"/>
            </w:tcBorders>
            <w:noWrap w:val="0"/>
            <w:tcMar>
              <w:top w:w="57" w:type="dxa"/>
              <w:bottom w:w="57" w:type="dxa"/>
            </w:tcMar>
            <w:vAlign w:val="center"/>
          </w:tcPr>
          <w:p>
            <w:pPr>
              <w:widowControl/>
              <w:spacing w:line="280" w:lineRule="exact"/>
              <w:ind w:firstLine="0" w:firstLineChars="0"/>
              <w:rPr>
                <w:color w:val="000000"/>
                <w:kern w:val="0"/>
                <w:sz w:val="24"/>
              </w:rPr>
            </w:pPr>
            <w:r>
              <w:rPr>
                <w:color w:val="000000"/>
                <w:kern w:val="0"/>
                <w:sz w:val="24"/>
              </w:rPr>
              <w:t>编制内</w:t>
            </w:r>
          </w:p>
          <w:p>
            <w:pPr>
              <w:widowControl/>
              <w:spacing w:line="280" w:lineRule="exact"/>
              <w:ind w:firstLine="0" w:firstLineChars="0"/>
              <w:rPr>
                <w:color w:val="000000"/>
                <w:kern w:val="0"/>
                <w:sz w:val="24"/>
              </w:rPr>
            </w:pPr>
            <w:r>
              <w:rPr>
                <w:color w:val="000000"/>
                <w:kern w:val="0"/>
                <w:sz w:val="24"/>
              </w:rPr>
              <w:t>刚性引进</w:t>
            </w:r>
          </w:p>
        </w:tc>
        <w:tc>
          <w:tcPr>
            <w:tcW w:w="2371" w:type="dxa"/>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pPr>
              <w:widowControl/>
              <w:spacing w:line="280" w:lineRule="exact"/>
              <w:ind w:firstLine="472"/>
              <w:jc w:val="center"/>
              <w:rPr>
                <w:color w:val="000000"/>
                <w:kern w:val="0"/>
                <w:sz w:val="24"/>
              </w:rPr>
            </w:pPr>
          </w:p>
        </w:tc>
      </w:tr>
    </w:tbl>
    <w:p>
      <w:pPr>
        <w:pStyle w:val="2"/>
        <w:ind w:firstLine="0" w:firstLineChars="0"/>
        <w:rPr>
          <w:rFonts w:eastAsia="黑体"/>
        </w:rPr>
      </w:pPr>
    </w:p>
    <w:p>
      <w:pPr>
        <w:pStyle w:val="2"/>
        <w:ind w:firstLine="0" w:firstLineChars="0"/>
        <w:rPr>
          <w:rFonts w:eastAsia="黑体"/>
        </w:rPr>
      </w:pPr>
    </w:p>
    <w:p>
      <w:pPr>
        <w:tabs>
          <w:tab w:val="left" w:pos="5760"/>
          <w:tab w:val="left" w:pos="7560"/>
        </w:tabs>
        <w:spacing w:line="400" w:lineRule="exact"/>
        <w:ind w:firstLine="0" w:firstLineChars="0"/>
        <w:rPr>
          <w:rFonts w:eastAsia="黑体"/>
          <w:b/>
        </w:rPr>
        <w:sectPr>
          <w:headerReference r:id="rId5" w:type="default"/>
          <w:footerReference r:id="rId7" w:type="default"/>
          <w:headerReference r:id="rId6" w:type="even"/>
          <w:footerReference r:id="rId8" w:type="even"/>
          <w:pgSz w:w="16840" w:h="11907" w:orient="landscape"/>
          <w:pgMar w:top="1587" w:right="2098" w:bottom="1474" w:left="1984" w:header="851" w:footer="1417" w:gutter="0"/>
          <w:pgNumType w:fmt="numberInDash"/>
          <w:cols w:space="0" w:num="1"/>
          <w:rtlGutter w:val="0"/>
          <w:docGrid w:type="linesAndChars" w:linePitch="589" w:charSpace="-834"/>
        </w:sectPr>
      </w:pPr>
    </w:p>
    <w:p>
      <w:pPr>
        <w:tabs>
          <w:tab w:val="left" w:pos="5760"/>
          <w:tab w:val="left" w:pos="7560"/>
        </w:tabs>
        <w:spacing w:line="400" w:lineRule="exact"/>
        <w:ind w:firstLine="0" w:firstLineChars="0"/>
        <w:rPr>
          <w:rFonts w:hint="eastAsia" w:eastAsia="黑体"/>
          <w:b/>
        </w:rPr>
      </w:pPr>
      <w:r>
        <w:rPr>
          <w:rFonts w:eastAsia="黑体"/>
          <w:b/>
        </w:rPr>
        <w:t>附件2</w:t>
      </w:r>
    </w:p>
    <w:p>
      <w:pPr>
        <w:spacing w:line="400" w:lineRule="exact"/>
        <w:ind w:firstLine="712"/>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南充师范学校2022年度</w:t>
      </w:r>
      <w:r>
        <w:rPr>
          <w:rFonts w:hint="eastAsia" w:ascii="方正小标宋简体" w:hAnsi="方正小标宋简体" w:eastAsia="方正小标宋简体" w:cs="方正小标宋简体"/>
          <w:sz w:val="36"/>
          <w:szCs w:val="36"/>
        </w:rPr>
        <w:t>“嘉陵江英才工程”</w:t>
      </w:r>
    </w:p>
    <w:p>
      <w:pPr>
        <w:spacing w:line="400" w:lineRule="exact"/>
        <w:ind w:firstLine="890" w:firstLineChars="25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引才考核招聘新冠肺炎疫情防控告知暨承诺书</w:t>
      </w:r>
    </w:p>
    <w:p>
      <w:pPr>
        <w:spacing w:line="240" w:lineRule="exact"/>
        <w:ind w:firstLine="352"/>
        <w:rPr>
          <w:rFonts w:ascii="方正仿宋简体" w:hAnsi="方正仿宋简体" w:cs="方正仿宋简体"/>
          <w:bCs/>
          <w:sz w:val="18"/>
          <w:szCs w:val="18"/>
        </w:rPr>
      </w:pPr>
    </w:p>
    <w:p>
      <w:pPr>
        <w:spacing w:line="240" w:lineRule="exact"/>
        <w:ind w:firstLine="474"/>
        <w:rPr>
          <w:b/>
          <w:sz w:val="24"/>
        </w:rPr>
      </w:pPr>
      <w:r>
        <w:rPr>
          <w:b/>
          <w:sz w:val="24"/>
        </w:rPr>
        <w:t>一、考生在笔（面）试前通过微信小程序“国家政务服务平台”及“四川天府健康通”申领本人防疫健康码，并于考前15天起持续关注健康码状态。经现场测量体温正常（＜37.3℃）且本人防疫健康码显示为绿码者，方可进入考点。参加面试的考生自备一次性医用口罩，除核验身份时按要求临时摘除口罩外，进出考点、参加考试应当全程佩戴口罩。</w:t>
      </w:r>
    </w:p>
    <w:p>
      <w:pPr>
        <w:spacing w:line="240" w:lineRule="exact"/>
        <w:ind w:firstLine="474"/>
        <w:rPr>
          <w:b/>
          <w:sz w:val="24"/>
        </w:rPr>
      </w:pPr>
      <w:r>
        <w:rPr>
          <w:b/>
          <w:sz w:val="24"/>
        </w:rPr>
        <w:t>二、考生赴考时如乘坐公共交通工具，需要全程佩戴口罩，可佩戴一次性手套，并做好手部卫生，同时注意社交距离。</w:t>
      </w:r>
    </w:p>
    <w:p>
      <w:pPr>
        <w:spacing w:line="240" w:lineRule="exact"/>
        <w:ind w:firstLine="474"/>
        <w:rPr>
          <w:b/>
          <w:sz w:val="24"/>
        </w:rPr>
      </w:pPr>
      <w:r>
        <w:rPr>
          <w:b/>
          <w:sz w:val="24"/>
        </w:rPr>
        <w:t>三、笔（面）试当天入场时因体温异常、咳嗽等症状，经现场医务人员确认有呼吸道异常症状的考生，不再参加此次</w:t>
      </w:r>
      <w:r>
        <w:rPr>
          <w:rFonts w:hint="eastAsia"/>
          <w:b/>
          <w:sz w:val="24"/>
          <w:lang w:eastAsia="zh-CN"/>
        </w:rPr>
        <w:t>考</w:t>
      </w:r>
      <w:r>
        <w:rPr>
          <w:b/>
          <w:sz w:val="24"/>
        </w:rPr>
        <w:t>试。</w:t>
      </w:r>
    </w:p>
    <w:p>
      <w:pPr>
        <w:spacing w:line="240" w:lineRule="exact"/>
        <w:ind w:firstLine="474"/>
        <w:rPr>
          <w:b/>
          <w:sz w:val="24"/>
        </w:rPr>
      </w:pPr>
      <w:r>
        <w:rPr>
          <w:b/>
          <w:sz w:val="24"/>
        </w:rPr>
        <w:t>四、为避免影响考试，来自国（境）外地区的考生，考前应至少提前22天入境，按照疫情防控有关规定，接受相应隔离观察、健康管理和核酸检测。来自国内地区的考生，要求如下：</w:t>
      </w:r>
    </w:p>
    <w:p>
      <w:pPr>
        <w:spacing w:line="240" w:lineRule="exact"/>
        <w:ind w:firstLine="474"/>
        <w:rPr>
          <w:b/>
          <w:sz w:val="24"/>
        </w:rPr>
      </w:pPr>
      <w:r>
        <w:rPr>
          <w:b/>
          <w:sz w:val="24"/>
        </w:rPr>
        <w:t>（一）</w:t>
      </w:r>
      <w:bookmarkStart w:id="0" w:name="_GoBack"/>
      <w:bookmarkEnd w:id="0"/>
      <w:r>
        <w:rPr>
          <w:rFonts w:hint="eastAsia"/>
          <w:b/>
          <w:sz w:val="24"/>
        </w:rPr>
        <w:t>14天内有中高风险地区旅居史、7天内有中高风险地区所在乡镇（街道）旅居史、7天内有中高风险地区所在县（市、区、旗）其他乡镇（街道）旅居史（不含直辖市），正在实施集中隔离、居家隔离及居家健康监测的考生</w:t>
      </w:r>
      <w:r>
        <w:rPr>
          <w:b/>
          <w:sz w:val="24"/>
        </w:rPr>
        <w:t>，不得参加本次考试；</w:t>
      </w:r>
    </w:p>
    <w:p>
      <w:pPr>
        <w:spacing w:line="240" w:lineRule="exact"/>
        <w:ind w:firstLine="474"/>
        <w:rPr>
          <w:b/>
          <w:sz w:val="24"/>
        </w:rPr>
      </w:pPr>
      <w:r>
        <w:rPr>
          <w:b/>
          <w:sz w:val="24"/>
        </w:rPr>
        <w:t>（二）14天内有中高风险地区所在地级市和直辖市、省会城市所在区旅居史，以及公布本土新增感染者但暂未划定中高风险地区所在地级市和直辖市、省会城市所在区旅居史的来（返）川考生，需提供3天内2次（采样时间间隔24小时，资格审查前三天）新冠病毒核酸检测阴性证明；</w:t>
      </w:r>
    </w:p>
    <w:p>
      <w:pPr>
        <w:spacing w:line="240" w:lineRule="exact"/>
        <w:ind w:firstLine="474"/>
        <w:rPr>
          <w:b/>
          <w:sz w:val="24"/>
        </w:rPr>
      </w:pPr>
      <w:r>
        <w:rPr>
          <w:b/>
          <w:sz w:val="24"/>
        </w:rPr>
        <w:t>（三）14天内有本土新冠病例和无症状感染者报告省份（自治区、直辖市）旅居史的来（返）川考生，需提供48小时内新冠病毒核酸检测阴性证明；</w:t>
      </w:r>
    </w:p>
    <w:p>
      <w:pPr>
        <w:spacing w:line="240" w:lineRule="exact"/>
        <w:ind w:firstLine="474"/>
        <w:rPr>
          <w:b/>
          <w:sz w:val="24"/>
        </w:rPr>
      </w:pPr>
      <w:r>
        <w:rPr>
          <w:b/>
          <w:sz w:val="24"/>
        </w:rPr>
        <w:t>（四）被判定为密切接触者或者次密接者的考生，在结束隔离观察后才可以参加考试，并于考试当天提供48小时内新冠病毒核酸检测阴性证明。</w:t>
      </w:r>
    </w:p>
    <w:p>
      <w:pPr>
        <w:spacing w:line="240" w:lineRule="exact"/>
        <w:ind w:firstLine="474"/>
        <w:rPr>
          <w:b/>
          <w:sz w:val="24"/>
        </w:rPr>
      </w:pPr>
      <w:r>
        <w:rPr>
          <w:b/>
          <w:sz w:val="24"/>
        </w:rPr>
        <w:t>五、资格审查及每场考试前，在考点入场检测处，考生要提前准备好当天本人防疫健康码（绿码）和通信大数据行程卡（绿码）、考核通知书、有效居民身份证以及48小时内新冠病毒核酸检测阴性报告证明（纸质版、电子版均可，下同），并配合工作人员做好入场扫码和体温检测准备。核酸检测报告时间以出具时间为准，非采样时间或报告打印时间。</w:t>
      </w:r>
    </w:p>
    <w:p>
      <w:pPr>
        <w:spacing w:line="240" w:lineRule="exact"/>
        <w:ind w:firstLine="474"/>
        <w:rPr>
          <w:b/>
          <w:sz w:val="24"/>
        </w:rPr>
      </w:pPr>
      <w:r>
        <w:rPr>
          <w:b/>
          <w:sz w:val="24"/>
        </w:rPr>
        <w:t>六、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spacing w:line="240" w:lineRule="exact"/>
        <w:ind w:firstLine="474"/>
        <w:rPr>
          <w:b/>
          <w:sz w:val="24"/>
        </w:rPr>
      </w:pPr>
      <w:r>
        <w:rPr>
          <w:b/>
          <w:sz w:val="24"/>
        </w:rPr>
        <w:t>七、考生在领取考核通知书前须签署《南充</w:t>
      </w:r>
      <w:r>
        <w:rPr>
          <w:rFonts w:hint="eastAsia"/>
          <w:b/>
          <w:sz w:val="24"/>
        </w:rPr>
        <w:t>师范学校</w:t>
      </w:r>
      <w:r>
        <w:rPr>
          <w:b/>
          <w:sz w:val="24"/>
        </w:rPr>
        <w:t>“嘉陵江英才工程”2022年度引才考核招聘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spacing w:line="240" w:lineRule="exact"/>
        <w:ind w:firstLine="474"/>
        <w:rPr>
          <w:rFonts w:hint="eastAsia"/>
          <w:b/>
          <w:sz w:val="24"/>
        </w:rPr>
      </w:pPr>
    </w:p>
    <w:p>
      <w:pPr>
        <w:spacing w:line="240" w:lineRule="exact"/>
        <w:ind w:firstLine="474"/>
        <w:rPr>
          <w:b/>
          <w:sz w:val="24"/>
        </w:rPr>
      </w:pPr>
      <w:r>
        <w:rPr>
          <w:b/>
          <w:sz w:val="24"/>
        </w:rPr>
        <w:t xml:space="preserve">                                                   南充</w:t>
      </w:r>
      <w:r>
        <w:rPr>
          <w:rFonts w:hint="eastAsia"/>
          <w:b/>
          <w:sz w:val="24"/>
        </w:rPr>
        <w:t>师范学校</w:t>
      </w:r>
    </w:p>
    <w:p>
      <w:pPr>
        <w:spacing w:line="240" w:lineRule="exact"/>
        <w:ind w:firstLine="474"/>
        <w:rPr>
          <w:b/>
          <w:sz w:val="24"/>
        </w:rPr>
      </w:pPr>
      <w:r>
        <w:rPr>
          <w:b/>
          <w:sz w:val="24"/>
        </w:rPr>
        <w:t xml:space="preserve">                                                   2022年</w:t>
      </w:r>
      <w:r>
        <w:rPr>
          <w:rFonts w:hint="eastAsia"/>
          <w:b/>
          <w:sz w:val="24"/>
        </w:rPr>
        <w:t xml:space="preserve"> </w:t>
      </w:r>
      <w:r>
        <w:rPr>
          <w:b/>
          <w:sz w:val="24"/>
        </w:rPr>
        <w:t>月</w:t>
      </w:r>
      <w:r>
        <w:rPr>
          <w:rFonts w:hint="eastAsia"/>
          <w:b/>
          <w:sz w:val="24"/>
        </w:rPr>
        <w:t xml:space="preserve"> </w:t>
      </w:r>
      <w:r>
        <w:rPr>
          <w:b/>
          <w:sz w:val="24"/>
        </w:rPr>
        <w:t>日</w:t>
      </w:r>
    </w:p>
    <w:p>
      <w:pPr>
        <w:spacing w:line="240" w:lineRule="exact"/>
        <w:ind w:firstLine="474"/>
        <w:rPr>
          <w:b/>
          <w:sz w:val="24"/>
        </w:rPr>
      </w:pPr>
      <w:r>
        <w:rPr>
          <w:b/>
          <w:sz w:val="24"/>
        </w:rPr>
        <w:t>................................................................................................................................................</w:t>
      </w:r>
    </w:p>
    <w:p>
      <w:pPr>
        <w:spacing w:line="240" w:lineRule="exact"/>
        <w:ind w:firstLine="474"/>
        <w:rPr>
          <w:b/>
          <w:sz w:val="24"/>
        </w:rPr>
      </w:pPr>
      <w:r>
        <w:rPr>
          <w:b/>
          <w:sz w:val="24"/>
        </w:rPr>
        <w:t>本人已认真阅读《南充</w:t>
      </w:r>
      <w:r>
        <w:rPr>
          <w:rFonts w:hint="eastAsia"/>
          <w:b/>
          <w:sz w:val="24"/>
        </w:rPr>
        <w:t>师范学校</w:t>
      </w:r>
      <w:r>
        <w:rPr>
          <w:b/>
          <w:sz w:val="24"/>
        </w:rPr>
        <w:t>“嘉陵江英才工程”2022年度引才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2"/>
        <w:spacing w:line="240" w:lineRule="exact"/>
        <w:ind w:firstLine="472"/>
        <w:rPr>
          <w:b w:val="0"/>
          <w:bCs w:val="0"/>
          <w:sz w:val="24"/>
          <w:szCs w:val="24"/>
        </w:rPr>
      </w:pPr>
    </w:p>
    <w:p>
      <w:pPr>
        <w:pStyle w:val="2"/>
        <w:spacing w:line="240" w:lineRule="exact"/>
        <w:ind w:firstLine="474"/>
        <w:rPr>
          <w:b w:val="0"/>
          <w:bCs w:val="0"/>
          <w:sz w:val="24"/>
          <w:szCs w:val="24"/>
        </w:rPr>
      </w:pPr>
      <w:r>
        <w:rPr>
          <w:bCs w:val="0"/>
          <w:sz w:val="24"/>
          <w:szCs w:val="24"/>
        </w:rPr>
        <w:t xml:space="preserve">                                                 承诺人（签字）：</w:t>
      </w:r>
    </w:p>
    <w:p>
      <w:pPr>
        <w:pStyle w:val="2"/>
        <w:spacing w:line="240" w:lineRule="exact"/>
        <w:ind w:firstLine="474"/>
        <w:rPr>
          <w:rFonts w:hint="eastAsia"/>
          <w:b w:val="0"/>
          <w:bCs w:val="0"/>
          <w:kern w:val="0"/>
          <w:sz w:val="24"/>
          <w:szCs w:val="24"/>
        </w:rPr>
      </w:pPr>
      <w:r>
        <w:rPr>
          <w:bCs w:val="0"/>
          <w:sz w:val="24"/>
          <w:szCs w:val="24"/>
        </w:rPr>
        <w:t xml:space="preserve">                                               2022年    月    日</w:t>
      </w:r>
    </w:p>
    <w:sectPr>
      <w:pgSz w:w="11907" w:h="16840"/>
      <w:pgMar w:top="2098" w:right="1474" w:bottom="1984" w:left="1587" w:header="851" w:footer="1417" w:gutter="0"/>
      <w:pgNumType w:fmt="numberInDash"/>
      <w:cols w:space="0" w:num="1"/>
      <w:rtlGutter w:val="0"/>
      <w:docGrid w:type="linesAndChars" w:linePitch="589"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00"/>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简体">
    <w:altName w:val="方正黑体_GBK"/>
    <w:panose1 w:val="02010601030101010101"/>
    <w:charset w:val="00"/>
    <w:family w:val="auto"/>
    <w:pitch w:val="default"/>
    <w:sig w:usb0="00000000" w:usb1="00000000" w:usb2="00000010" w:usb3="00000000" w:csb0="00040000" w:csb1="00000000"/>
  </w:font>
  <w:font w:name="方正楷体简体">
    <w:altName w:val="方正楷体_GBK"/>
    <w:panose1 w:val="03000509000000000000"/>
    <w:charset w:val="00"/>
    <w:family w:val="script"/>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right"/>
      <w:rPr>
        <w:b/>
        <w:bCs/>
        <w:sz w:val="24"/>
        <w:szCs w:val="24"/>
      </w:rPr>
    </w:pPr>
    <w:r>
      <w:rPr>
        <w:b/>
        <w:bCs/>
        <w:sz w:val="24"/>
        <w:szCs w:val="24"/>
      </w:rPr>
      <w:fldChar w:fldCharType="begin"/>
    </w:r>
    <w:r>
      <w:rPr>
        <w:b/>
        <w:bCs/>
        <w:sz w:val="24"/>
        <w:szCs w:val="24"/>
      </w:rPr>
      <w:instrText xml:space="preserve">PAGE   \* MERGEFORMAT</w:instrText>
    </w:r>
    <w:r>
      <w:rPr>
        <w:b/>
        <w:bCs/>
        <w:sz w:val="24"/>
        <w:szCs w:val="24"/>
      </w:rPr>
      <w:fldChar w:fldCharType="separate"/>
    </w:r>
    <w:r>
      <w:rPr>
        <w:b/>
        <w:bCs/>
        <w:sz w:val="24"/>
        <w:szCs w:val="24"/>
        <w:lang w:val="zh-CN"/>
      </w:rPr>
      <w:t>2</w:t>
    </w:r>
    <w:r>
      <w:rPr>
        <w:b/>
        <w:bCs/>
        <w:sz w:val="24"/>
        <w:szCs w:val="24"/>
      </w:rPr>
      <w:fldChar w:fldCharType="end"/>
    </w:r>
  </w:p>
  <w:p>
    <w:pPr>
      <w:pStyle w:val="3"/>
      <w:ind w:firstLine="562"/>
      <w:jc w:val="right"/>
      <w:rPr>
        <w:rFonts w:hint="eastAsia"/>
        <w:b/>
        <w:bCs/>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rPr>
        <w:b/>
        <w:bCs/>
        <w:sz w:val="24"/>
        <w:szCs w:val="24"/>
      </w:rPr>
    </w:pPr>
    <w:r>
      <w:rPr>
        <w:b/>
        <w:bCs/>
        <w:sz w:val="24"/>
        <w:szCs w:val="24"/>
      </w:rPr>
      <w:fldChar w:fldCharType="begin"/>
    </w:r>
    <w:r>
      <w:rPr>
        <w:b/>
        <w:bCs/>
        <w:sz w:val="24"/>
        <w:szCs w:val="24"/>
      </w:rPr>
      <w:instrText xml:space="preserve">PAGE   \* MERGEFORMAT</w:instrText>
    </w:r>
    <w:r>
      <w:rPr>
        <w:b/>
        <w:bCs/>
        <w:sz w:val="24"/>
        <w:szCs w:val="24"/>
      </w:rPr>
      <w:fldChar w:fldCharType="separate"/>
    </w:r>
    <w:r>
      <w:rPr>
        <w:b/>
        <w:bCs/>
        <w:sz w:val="24"/>
        <w:szCs w:val="24"/>
        <w:lang w:val="zh-CN"/>
      </w:rPr>
      <w:t>2</w:t>
    </w:r>
    <w:r>
      <w:rPr>
        <w:b/>
        <w:bCs/>
        <w:sz w:val="24"/>
        <w:szCs w:val="24"/>
      </w:rPr>
      <w:fldChar w:fldCharType="end"/>
    </w:r>
  </w:p>
  <w:p>
    <w:pPr>
      <w:pStyle w:val="3"/>
      <w:ind w:firstLine="562"/>
      <w:rPr>
        <w:rFonts w:hint="eastAsia"/>
        <w:b/>
        <w:b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F7A33"/>
    <w:rsid w:val="7FBFE7A3"/>
    <w:rsid w:val="FFBF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36"/>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2022-04-20T19:24:00Z</dcterms:created>
  <dc:creator>user</dc:creator>
  <cp:lastModifiedBy>user</cp:lastModifiedBy>
  <dcterms:modified xsi:type="dcterms:W3CDTF">2022-04-27T09:00:34Z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