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64" w:rsidRDefault="0011291F">
      <w:pPr>
        <w:spacing w:line="579" w:lineRule="exact"/>
        <w:rPr>
          <w:rFonts w:ascii="黑体" w:eastAsia="黑体" w:hAnsi="楷体" w:cs="Times New Roman"/>
          <w:color w:val="000000" w:themeColor="text1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楷体" w:cs="Times New Roman" w:hint="eastAsia"/>
          <w:color w:val="000000" w:themeColor="text1"/>
          <w:kern w:val="0"/>
          <w:sz w:val="30"/>
          <w:szCs w:val="30"/>
        </w:rPr>
        <w:t>附件</w:t>
      </w:r>
      <w:r>
        <w:rPr>
          <w:rFonts w:ascii="黑体" w:eastAsia="黑体" w:hAnsi="Times New Roman" w:cs="Times New Roman" w:hint="eastAsia"/>
          <w:color w:val="000000" w:themeColor="text1"/>
          <w:kern w:val="0"/>
          <w:sz w:val="30"/>
          <w:szCs w:val="30"/>
        </w:rPr>
        <w:t>1</w:t>
      </w:r>
    </w:p>
    <w:p w:rsidR="000E0464" w:rsidRDefault="0011291F">
      <w:pPr>
        <w:spacing w:line="579" w:lineRule="exact"/>
        <w:jc w:val="center"/>
        <w:rPr>
          <w:rFonts w:ascii="方正小标宋简体" w:eastAsia="方正小标宋简体" w:hAnsi="华文中宋" w:cs="Times New Roman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202</w:t>
      </w:r>
      <w:r w:rsidR="001D5AAF"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2</w:t>
      </w:r>
      <w:r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年中共长沙市委</w:t>
      </w:r>
      <w:r w:rsidR="001D5AAF"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组织部</w:t>
      </w:r>
      <w:r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所属事业单位公开</w:t>
      </w:r>
      <w:r w:rsidR="001D5AAF"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招聘工</w:t>
      </w:r>
      <w:r>
        <w:rPr>
          <w:rFonts w:ascii="方正小标宋简体" w:eastAsia="方正小标宋简体" w:hAnsi="华文中宋" w:cs="Times New Roman" w:hint="eastAsia"/>
          <w:bCs/>
          <w:color w:val="000000" w:themeColor="text1"/>
          <w:kern w:val="0"/>
          <w:sz w:val="44"/>
          <w:szCs w:val="44"/>
        </w:rPr>
        <w:t>作人员岗位表</w:t>
      </w:r>
    </w:p>
    <w:p w:rsidR="000E0464" w:rsidRDefault="000E0464">
      <w:pPr>
        <w:spacing w:line="579" w:lineRule="exact"/>
        <w:jc w:val="center"/>
        <w:rPr>
          <w:rFonts w:ascii="方正小标宋简体" w:eastAsia="方正小标宋简体" w:hAnsi="华文中宋" w:cs="Times New Roman"/>
          <w:bCs/>
          <w:color w:val="000000" w:themeColor="text1"/>
          <w:kern w:val="0"/>
          <w:sz w:val="44"/>
          <w:szCs w:val="44"/>
        </w:rPr>
      </w:pPr>
    </w:p>
    <w:tbl>
      <w:tblPr>
        <w:tblW w:w="14988" w:type="dxa"/>
        <w:tblInd w:w="-318" w:type="dxa"/>
        <w:tblLook w:val="04A0"/>
      </w:tblPr>
      <w:tblGrid>
        <w:gridCol w:w="1183"/>
        <w:gridCol w:w="1473"/>
        <w:gridCol w:w="1183"/>
        <w:gridCol w:w="1192"/>
        <w:gridCol w:w="826"/>
        <w:gridCol w:w="749"/>
        <w:gridCol w:w="903"/>
        <w:gridCol w:w="913"/>
        <w:gridCol w:w="1238"/>
        <w:gridCol w:w="1968"/>
        <w:gridCol w:w="1326"/>
        <w:gridCol w:w="1080"/>
        <w:gridCol w:w="954"/>
      </w:tblGrid>
      <w:tr w:rsidR="000E0464">
        <w:trPr>
          <w:trHeight w:val="536"/>
        </w:trPr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1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D5A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</w:t>
            </w:r>
            <w:r w:rsidR="0011291F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D5AA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</w:t>
            </w:r>
            <w:r w:rsidR="0011291F"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计划</w:t>
            </w:r>
          </w:p>
        </w:tc>
        <w:tc>
          <w:tcPr>
            <w:tcW w:w="577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笔试</w:t>
            </w:r>
          </w:p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科目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考核</w:t>
            </w:r>
          </w:p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方式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0E0464">
        <w:trPr>
          <w:trHeight w:val="485"/>
        </w:trPr>
        <w:tc>
          <w:tcPr>
            <w:tcW w:w="11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464" w:rsidRDefault="0011291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464" w:rsidRDefault="000E046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27F47" w:rsidTr="00B13656">
        <w:trPr>
          <w:trHeight w:val="192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7F47" w:rsidRDefault="00227F47" w:rsidP="001D5AA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中共长沙市委组织部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长沙市领导干部考试测评中心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自收自支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人才测评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 w:rsidRPr="00227F47"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研究生学历及以上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硕士学位及以上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 w:rsidRPr="00227F47"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心理学类、企业管理（含财务管理、市场营销、人力资源管理）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 w:rsidRPr="00227F47"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中共党员、2年及以上人力资源或人才测评工作经历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27F47" w:rsidTr="00B13656">
        <w:trPr>
          <w:trHeight w:val="1892"/>
        </w:trPr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F47" w:rsidRDefault="00227F47" w:rsidP="001D5AAF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jc w:val="left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会计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227F47">
            <w:pPr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3654E9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本科</w:t>
            </w:r>
            <w:r w:rsidRPr="00227F47"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学历及以上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3654E9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学士学位及以上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会计、会计学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 w:rsidRPr="00227F47"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中共党员、具有中级会计及以上职称、5年及以上会计工作经历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7" w:rsidRDefault="00227F47" w:rsidP="001D5AAF">
            <w:pPr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F47" w:rsidRDefault="00227F47">
            <w:pPr>
              <w:widowControl/>
              <w:spacing w:line="300" w:lineRule="exact"/>
              <w:jc w:val="center"/>
              <w:rPr>
                <w:rFonts w:ascii="仿宋_GB2312" w:eastAsia="仿宋_GB2312" w:hAnsi="华文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E0464" w:rsidRDefault="000E0464">
      <w:pPr>
        <w:widowControl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22"/>
        </w:rPr>
      </w:pPr>
    </w:p>
    <w:p w:rsidR="000E0464" w:rsidRDefault="0011291F">
      <w:pPr>
        <w:widowControl/>
        <w:jc w:val="left"/>
        <w:rPr>
          <w:color w:val="000000" w:themeColor="text1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22"/>
        </w:rPr>
        <w:t>备注：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长沙市</w:t>
      </w:r>
      <w:r w:rsidR="00227F47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领导干部考试测评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中心为中共长沙市委</w:t>
      </w:r>
      <w:r w:rsidR="00227F47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组织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部所属公益</w:t>
      </w:r>
      <w:r w:rsidR="00227F47"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二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2"/>
        </w:rPr>
        <w:t>类事业单位。</w:t>
      </w:r>
    </w:p>
    <w:sectPr w:rsidR="000E0464" w:rsidSect="000E04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193" w:rsidRDefault="00E05193" w:rsidP="001D5AAF">
      <w:r>
        <w:separator/>
      </w:r>
    </w:p>
  </w:endnote>
  <w:endnote w:type="continuationSeparator" w:id="1">
    <w:p w:rsidR="00E05193" w:rsidRDefault="00E05193" w:rsidP="001D5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193" w:rsidRDefault="00E05193" w:rsidP="001D5AAF">
      <w:r>
        <w:separator/>
      </w:r>
    </w:p>
  </w:footnote>
  <w:footnote w:type="continuationSeparator" w:id="1">
    <w:p w:rsidR="00E05193" w:rsidRDefault="00E05193" w:rsidP="001D5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68F"/>
    <w:rsid w:val="00003230"/>
    <w:rsid w:val="000229B0"/>
    <w:rsid w:val="000623CC"/>
    <w:rsid w:val="000B3033"/>
    <w:rsid w:val="000C5550"/>
    <w:rsid w:val="000E0464"/>
    <w:rsid w:val="000E59DE"/>
    <w:rsid w:val="000F314E"/>
    <w:rsid w:val="0011291F"/>
    <w:rsid w:val="00121B8C"/>
    <w:rsid w:val="00122D2C"/>
    <w:rsid w:val="00131097"/>
    <w:rsid w:val="00136E26"/>
    <w:rsid w:val="00171C1D"/>
    <w:rsid w:val="001736C7"/>
    <w:rsid w:val="0017677B"/>
    <w:rsid w:val="00196C17"/>
    <w:rsid w:val="001C0EA8"/>
    <w:rsid w:val="001D5AAF"/>
    <w:rsid w:val="001D686C"/>
    <w:rsid w:val="001F133B"/>
    <w:rsid w:val="002100FB"/>
    <w:rsid w:val="00222719"/>
    <w:rsid w:val="00227F47"/>
    <w:rsid w:val="002864EF"/>
    <w:rsid w:val="002A0D70"/>
    <w:rsid w:val="002A4528"/>
    <w:rsid w:val="002B0A7C"/>
    <w:rsid w:val="002C45D9"/>
    <w:rsid w:val="002C768F"/>
    <w:rsid w:val="002D2236"/>
    <w:rsid w:val="002F096F"/>
    <w:rsid w:val="003171C4"/>
    <w:rsid w:val="00320C8B"/>
    <w:rsid w:val="00354BB2"/>
    <w:rsid w:val="00383E45"/>
    <w:rsid w:val="00385C0B"/>
    <w:rsid w:val="0039167D"/>
    <w:rsid w:val="003A604D"/>
    <w:rsid w:val="003C49C8"/>
    <w:rsid w:val="00442BBA"/>
    <w:rsid w:val="0046511C"/>
    <w:rsid w:val="00481F05"/>
    <w:rsid w:val="0048376F"/>
    <w:rsid w:val="0048421E"/>
    <w:rsid w:val="00496412"/>
    <w:rsid w:val="004F051A"/>
    <w:rsid w:val="004F3489"/>
    <w:rsid w:val="00502AFC"/>
    <w:rsid w:val="00515123"/>
    <w:rsid w:val="00533D88"/>
    <w:rsid w:val="005669B0"/>
    <w:rsid w:val="005949B6"/>
    <w:rsid w:val="005B2E71"/>
    <w:rsid w:val="005E441B"/>
    <w:rsid w:val="005E62B4"/>
    <w:rsid w:val="00613E3B"/>
    <w:rsid w:val="006600C1"/>
    <w:rsid w:val="00666585"/>
    <w:rsid w:val="00685351"/>
    <w:rsid w:val="006A29D4"/>
    <w:rsid w:val="006C7714"/>
    <w:rsid w:val="006D129F"/>
    <w:rsid w:val="006D75F6"/>
    <w:rsid w:val="006E1676"/>
    <w:rsid w:val="007012CC"/>
    <w:rsid w:val="00712B74"/>
    <w:rsid w:val="00751FC7"/>
    <w:rsid w:val="007610F8"/>
    <w:rsid w:val="00822882"/>
    <w:rsid w:val="00827611"/>
    <w:rsid w:val="00856C59"/>
    <w:rsid w:val="0086231C"/>
    <w:rsid w:val="00865013"/>
    <w:rsid w:val="008815EC"/>
    <w:rsid w:val="008B1990"/>
    <w:rsid w:val="008B4B17"/>
    <w:rsid w:val="008B5BA1"/>
    <w:rsid w:val="008F37FB"/>
    <w:rsid w:val="00911B3C"/>
    <w:rsid w:val="009409C6"/>
    <w:rsid w:val="00973088"/>
    <w:rsid w:val="00977AC7"/>
    <w:rsid w:val="00987C9A"/>
    <w:rsid w:val="009922F7"/>
    <w:rsid w:val="009D472C"/>
    <w:rsid w:val="009E7E33"/>
    <w:rsid w:val="009F3D83"/>
    <w:rsid w:val="00A02161"/>
    <w:rsid w:val="00A2245A"/>
    <w:rsid w:val="00A345DC"/>
    <w:rsid w:val="00A365B6"/>
    <w:rsid w:val="00A53198"/>
    <w:rsid w:val="00A7168B"/>
    <w:rsid w:val="00AA1DE7"/>
    <w:rsid w:val="00AA38EE"/>
    <w:rsid w:val="00AC6589"/>
    <w:rsid w:val="00B04ADA"/>
    <w:rsid w:val="00B33F8F"/>
    <w:rsid w:val="00BB3A13"/>
    <w:rsid w:val="00BD4EDA"/>
    <w:rsid w:val="00C01BB3"/>
    <w:rsid w:val="00C04ED7"/>
    <w:rsid w:val="00C478CB"/>
    <w:rsid w:val="00C53706"/>
    <w:rsid w:val="00C80549"/>
    <w:rsid w:val="00CA1B14"/>
    <w:rsid w:val="00CA7020"/>
    <w:rsid w:val="00CA738F"/>
    <w:rsid w:val="00CC4903"/>
    <w:rsid w:val="00CD468D"/>
    <w:rsid w:val="00D04479"/>
    <w:rsid w:val="00D05B48"/>
    <w:rsid w:val="00D40512"/>
    <w:rsid w:val="00D50FE6"/>
    <w:rsid w:val="00DD1623"/>
    <w:rsid w:val="00DE3270"/>
    <w:rsid w:val="00DF3FE5"/>
    <w:rsid w:val="00DF7EC7"/>
    <w:rsid w:val="00E05193"/>
    <w:rsid w:val="00E83359"/>
    <w:rsid w:val="00EB0573"/>
    <w:rsid w:val="00EB3432"/>
    <w:rsid w:val="00F34DF0"/>
    <w:rsid w:val="00F3783F"/>
    <w:rsid w:val="00F65313"/>
    <w:rsid w:val="00F739DB"/>
    <w:rsid w:val="00F7576A"/>
    <w:rsid w:val="00FE548F"/>
    <w:rsid w:val="04A525C3"/>
    <w:rsid w:val="09012CB1"/>
    <w:rsid w:val="0BD74890"/>
    <w:rsid w:val="0D820FF7"/>
    <w:rsid w:val="11F50CCC"/>
    <w:rsid w:val="128C6C35"/>
    <w:rsid w:val="1903341D"/>
    <w:rsid w:val="1E3050E7"/>
    <w:rsid w:val="24A0369F"/>
    <w:rsid w:val="2E902977"/>
    <w:rsid w:val="474108A5"/>
    <w:rsid w:val="4CE567AE"/>
    <w:rsid w:val="528255CB"/>
    <w:rsid w:val="533B4624"/>
    <w:rsid w:val="535B492C"/>
    <w:rsid w:val="5F6D5B05"/>
    <w:rsid w:val="6BED231A"/>
    <w:rsid w:val="6DEC1557"/>
    <w:rsid w:val="73A352E0"/>
    <w:rsid w:val="75232018"/>
    <w:rsid w:val="75C325D2"/>
    <w:rsid w:val="7B2252F6"/>
    <w:rsid w:val="7BBC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0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E0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E04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04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113</cp:revision>
  <cp:lastPrinted>2021-11-25T14:19:00Z</cp:lastPrinted>
  <dcterms:created xsi:type="dcterms:W3CDTF">2021-05-17T05:07:00Z</dcterms:created>
  <dcterms:modified xsi:type="dcterms:W3CDTF">2022-04-28T06:41:00Z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A08A061CC9A24AE79F2295E320FD969E</vt:lpwstr>
  </property>
</Properties>
</file>