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Style w:val="7"/>
          <w:rFonts w:hint="eastAsia" w:ascii="宋体" w:hAnsi="宋体" w:eastAsiaTheme="minorEastAsia"/>
          <w:b/>
          <w:bCs/>
          <w:sz w:val="30"/>
          <w:szCs w:val="30"/>
          <w:lang w:val="en-US" w:eastAsia="zh-CN"/>
        </w:rPr>
      </w:pPr>
      <w:r>
        <w:rPr>
          <w:rFonts w:hint="eastAsia" w:ascii="宋体" w:hAnsi="宋体" w:eastAsia="宋体" w:cs="宋体"/>
          <w:b/>
          <w:bCs/>
          <w:kern w:val="0"/>
          <w:sz w:val="30"/>
          <w:szCs w:val="30"/>
        </w:rPr>
        <w:t>招聘单位、岗位、人数、专业、学历和范围及资格条件</w:t>
      </w:r>
    </w:p>
    <w:tbl>
      <w:tblPr>
        <w:tblStyle w:val="6"/>
        <w:tblW w:w="9135" w:type="dxa"/>
        <w:jc w:val="center"/>
        <w:tblCellSpacing w:w="0" w:type="dxa"/>
        <w:tblInd w:w="0" w:type="dxa"/>
        <w:tblLayout w:type="fixed"/>
        <w:tblCellMar>
          <w:top w:w="0" w:type="dxa"/>
          <w:left w:w="0" w:type="dxa"/>
          <w:bottom w:w="0" w:type="dxa"/>
          <w:right w:w="0" w:type="dxa"/>
        </w:tblCellMar>
      </w:tblPr>
      <w:tblGrid>
        <w:gridCol w:w="2216"/>
        <w:gridCol w:w="523"/>
        <w:gridCol w:w="474"/>
        <w:gridCol w:w="1517"/>
        <w:gridCol w:w="2381"/>
        <w:gridCol w:w="568"/>
        <w:gridCol w:w="1456"/>
      </w:tblGrid>
      <w:tr>
        <w:tblPrEx>
          <w:tblLayout w:type="fixed"/>
          <w:tblCellMar>
            <w:top w:w="0" w:type="dxa"/>
            <w:left w:w="0" w:type="dxa"/>
            <w:bottom w:w="0" w:type="dxa"/>
            <w:right w:w="0" w:type="dxa"/>
          </w:tblCellMar>
        </w:tblPrEx>
        <w:trPr>
          <w:trHeight w:val="527" w:hRule="atLeast"/>
          <w:tblHeader/>
          <w:tblCellSpacing w:w="0" w:type="dxa"/>
          <w:jc w:val="center"/>
        </w:trPr>
        <w:tc>
          <w:tcPr>
            <w:tcW w:w="2216" w:type="dxa"/>
            <w:tcBorders>
              <w:top w:val="single" w:color="000000" w:sz="6" w:space="0"/>
              <w:left w:val="single" w:color="000000" w:sz="6" w:space="0"/>
              <w:bottom w:val="single" w:color="000000" w:sz="6" w:space="0"/>
              <w:right w:val="single" w:color="000000" w:sz="6" w:space="0"/>
            </w:tcBorders>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单位</w:t>
            </w:r>
          </w:p>
        </w:tc>
        <w:tc>
          <w:tcPr>
            <w:tcW w:w="523" w:type="dxa"/>
            <w:tcBorders>
              <w:top w:val="single" w:color="000000" w:sz="6" w:space="0"/>
              <w:left w:val="nil"/>
              <w:bottom w:val="single" w:color="000000" w:sz="6" w:space="0"/>
              <w:right w:val="single" w:color="000000" w:sz="6" w:space="0"/>
            </w:tcBorders>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w:t>
            </w:r>
          </w:p>
        </w:tc>
        <w:tc>
          <w:tcPr>
            <w:tcW w:w="474" w:type="dxa"/>
            <w:tcBorders>
              <w:top w:val="single" w:color="000000" w:sz="6" w:space="0"/>
              <w:left w:val="nil"/>
              <w:bottom w:val="single" w:color="000000" w:sz="6" w:space="0"/>
              <w:right w:val="single" w:color="000000" w:sz="6" w:space="0"/>
            </w:tcBorders>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人数</w:t>
            </w:r>
          </w:p>
        </w:tc>
        <w:tc>
          <w:tcPr>
            <w:tcW w:w="1517" w:type="dxa"/>
            <w:tcBorders>
              <w:top w:val="single" w:color="000000" w:sz="6" w:space="0"/>
              <w:left w:val="nil"/>
              <w:bottom w:val="single" w:color="000000" w:sz="6" w:space="0"/>
              <w:right w:val="single" w:color="000000" w:sz="6" w:space="0"/>
            </w:tcBorders>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职责</w:t>
            </w:r>
          </w:p>
        </w:tc>
        <w:tc>
          <w:tcPr>
            <w:tcW w:w="2381" w:type="dxa"/>
            <w:tcBorders>
              <w:top w:val="single" w:color="000000" w:sz="6" w:space="0"/>
              <w:left w:val="nil"/>
              <w:bottom w:val="single" w:color="000000" w:sz="6" w:space="0"/>
              <w:right w:val="single" w:color="000000" w:sz="6" w:space="0"/>
            </w:tcBorders>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招聘专业及</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学历（学位）要求</w:t>
            </w:r>
          </w:p>
        </w:tc>
        <w:tc>
          <w:tcPr>
            <w:tcW w:w="568" w:type="dxa"/>
            <w:tcBorders>
              <w:top w:val="single" w:color="000000" w:sz="6" w:space="0"/>
              <w:left w:val="nil"/>
              <w:bottom w:val="single" w:color="000000" w:sz="6" w:space="0"/>
              <w:right w:val="single" w:color="000000" w:sz="6" w:space="0"/>
            </w:tcBorders>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范围</w:t>
            </w:r>
          </w:p>
        </w:tc>
        <w:tc>
          <w:tcPr>
            <w:tcW w:w="1456" w:type="dxa"/>
            <w:tcBorders>
              <w:top w:val="single" w:color="000000" w:sz="6" w:space="0"/>
              <w:left w:val="nil"/>
              <w:bottom w:val="single" w:color="000000" w:sz="6" w:space="0"/>
              <w:right w:val="single" w:color="000000" w:sz="6" w:space="0"/>
            </w:tcBorders>
            <w:vAlign w:val="center"/>
          </w:tcPr>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其他资格</w:t>
            </w:r>
          </w:p>
          <w:p>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条件</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restart"/>
            <w:tcBorders>
              <w:top w:val="nil"/>
              <w:left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宁波市医疗中心李惠利医院</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名）</w:t>
            </w:r>
          </w:p>
        </w:tc>
        <w:tc>
          <w:tcPr>
            <w:tcW w:w="523" w:type="dxa"/>
            <w:tcBorders>
              <w:top w:val="nil"/>
              <w:left w:val="nil"/>
              <w:bottom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临床</w:t>
            </w:r>
          </w:p>
        </w:tc>
        <w:tc>
          <w:tcPr>
            <w:tcW w:w="474" w:type="dxa"/>
            <w:tcBorders>
              <w:top w:val="nil"/>
              <w:left w:val="nil"/>
              <w:bottom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517" w:type="dxa"/>
            <w:tcBorders>
              <w:top w:val="nil"/>
              <w:left w:val="nil"/>
              <w:bottom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各科日常诊断、治疗、教学、科研等工作</w:t>
            </w:r>
          </w:p>
        </w:tc>
        <w:tc>
          <w:tcPr>
            <w:tcW w:w="2381" w:type="dxa"/>
            <w:tcBorders>
              <w:top w:val="nil"/>
              <w:left w:val="nil"/>
              <w:bottom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普外科学、胸外科学、神经外科学、泌尿外科学、耳鼻咽喉头颈外科学、骨外科学、麻醉学、血液病学、心血管病学、神经病学、消化病学、康复医学、危重病学、急诊医学等专业；</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硕士研究生、硕士及以上学历（学位）</w:t>
            </w:r>
          </w:p>
        </w:tc>
        <w:tc>
          <w:tcPr>
            <w:tcW w:w="568" w:type="dxa"/>
            <w:vMerge w:val="restart"/>
            <w:tcBorders>
              <w:top w:val="nil"/>
              <w:left w:val="nil"/>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top w:val="nil"/>
              <w:left w:val="nil"/>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1、2022年普通高校应届毕业生；</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2、已取得学历学位的历届生，年龄35周岁以下（其中对博士研究生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周岁以下）。有副高及以上专业技术任职资格的学历（学位）可放宽至本科（学士）。临床岗位要求已取得执业医师资格。</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nil"/>
              <w:left w:val="nil"/>
              <w:bottom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医技</w:t>
            </w:r>
          </w:p>
        </w:tc>
        <w:tc>
          <w:tcPr>
            <w:tcW w:w="474" w:type="dxa"/>
            <w:tcBorders>
              <w:top w:val="nil"/>
              <w:left w:val="nil"/>
              <w:bottom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1517" w:type="dxa"/>
            <w:tcBorders>
              <w:top w:val="nil"/>
              <w:left w:val="nil"/>
              <w:bottom w:val="single" w:color="000000" w:sz="6"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各科日常诊断、教学、科研等工作</w:t>
            </w:r>
          </w:p>
        </w:tc>
        <w:tc>
          <w:tcPr>
            <w:tcW w:w="2381" w:type="dxa"/>
            <w:tcBorders>
              <w:top w:val="nil"/>
              <w:left w:val="nil"/>
              <w:bottom w:val="single" w:color="000000" w:sz="6"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临床医学、影像医学与核医学等专业；</w:t>
            </w:r>
          </w:p>
          <w:p>
            <w:pPr>
              <w:pStyle w:val="4"/>
              <w:spacing w:before="0" w:beforeAutospacing="0" w:after="0" w:afterAutospacing="0" w:line="240" w:lineRule="exact"/>
              <w:rPr>
                <w:sz w:val="20"/>
                <w:szCs w:val="20"/>
              </w:rPr>
            </w:pPr>
            <w:r>
              <w:rPr>
                <w:rFonts w:hint="eastAsia"/>
                <w:sz w:val="20"/>
                <w:szCs w:val="20"/>
              </w:rPr>
              <w:t>硕士研究生、硕士及以上学历（学位）</w:t>
            </w:r>
          </w:p>
        </w:tc>
        <w:tc>
          <w:tcPr>
            <w:tcW w:w="568"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91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药学</w:t>
            </w:r>
          </w:p>
        </w:tc>
        <w:tc>
          <w:tcPr>
            <w:tcW w:w="474" w:type="dxa"/>
            <w:tcBorders>
              <w:top w:val="nil"/>
              <w:left w:val="nil"/>
              <w:bottom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w:t>
            </w:r>
          </w:p>
        </w:tc>
        <w:tc>
          <w:tcPr>
            <w:tcW w:w="1517" w:type="dxa"/>
            <w:tcBorders>
              <w:top w:val="nil"/>
              <w:left w:val="nil"/>
              <w:bottom w:val="single" w:color="000000" w:sz="6"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承担医院药学相关工作</w:t>
            </w:r>
          </w:p>
        </w:tc>
        <w:tc>
          <w:tcPr>
            <w:tcW w:w="2381" w:type="dxa"/>
            <w:tcBorders>
              <w:top w:val="nil"/>
              <w:left w:val="nil"/>
              <w:bottom w:val="single" w:color="000000" w:sz="6"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药学等相关专业；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p>
            <w:pPr>
              <w:pStyle w:val="4"/>
              <w:spacing w:before="0" w:beforeAutospacing="0" w:after="0" w:afterAutospacing="0" w:line="240" w:lineRule="exact"/>
              <w:rPr>
                <w:rFonts w:hint="eastAsia" w:eastAsia="宋体"/>
                <w:sz w:val="20"/>
                <w:szCs w:val="20"/>
                <w:lang w:val="en-US" w:eastAsia="zh-CN"/>
              </w:rPr>
            </w:pPr>
            <w:r>
              <w:rPr>
                <w:rFonts w:hint="eastAsia"/>
                <w:sz w:val="20"/>
                <w:szCs w:val="20"/>
                <w:lang w:eastAsia="zh-CN"/>
              </w:rPr>
              <w:t>其中</w:t>
            </w:r>
            <w:r>
              <w:rPr>
                <w:rFonts w:hint="eastAsia"/>
                <w:sz w:val="20"/>
                <w:szCs w:val="20"/>
                <w:lang w:val="en-US" w:eastAsia="zh-CN"/>
              </w:rPr>
              <w:t>1名博士研究生、</w:t>
            </w:r>
            <w:r>
              <w:rPr>
                <w:rFonts w:hint="eastAsia"/>
                <w:sz w:val="20"/>
                <w:szCs w:val="20"/>
                <w:lang w:eastAsia="zh-CN"/>
              </w:rPr>
              <w:t>博</w:t>
            </w:r>
            <w:r>
              <w:rPr>
                <w:rFonts w:hint="eastAsia"/>
                <w:sz w:val="20"/>
                <w:szCs w:val="20"/>
              </w:rPr>
              <w:t>士及以上学历（学位）</w:t>
            </w:r>
          </w:p>
        </w:tc>
        <w:tc>
          <w:tcPr>
            <w:tcW w:w="568"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left w:val="nil"/>
              <w:bottom w:val="single" w:color="000000" w:sz="6" w:space="0"/>
              <w:right w:val="single" w:color="000000" w:sz="6" w:space="0"/>
            </w:tcBorders>
            <w:vAlign w:val="center"/>
          </w:tcPr>
          <w:p>
            <w:pPr>
              <w:pStyle w:val="4"/>
              <w:spacing w:before="0" w:beforeAutospacing="0" w:after="0" w:afterAutospacing="0" w:line="240" w:lineRule="exact"/>
              <w:jc w:val="center"/>
              <w:rPr>
                <w:rFonts w:ascii="宋体" w:hAnsi="宋体" w:eastAsia="宋体" w:cs="宋体"/>
                <w:kern w:val="0"/>
                <w:sz w:val="20"/>
                <w:szCs w:val="20"/>
              </w:rPr>
            </w:pPr>
            <w:r>
              <w:rPr>
                <w:rFonts w:hint="eastAsia"/>
                <w:sz w:val="20"/>
                <w:szCs w:val="20"/>
              </w:rPr>
              <w:t>信息</w:t>
            </w:r>
          </w:p>
        </w:tc>
        <w:tc>
          <w:tcPr>
            <w:tcW w:w="474" w:type="dxa"/>
            <w:tcBorders>
              <w:top w:val="nil"/>
              <w:left w:val="nil"/>
              <w:bottom w:val="single" w:color="000000" w:sz="6" w:space="0"/>
              <w:right w:val="single" w:color="000000" w:sz="6" w:space="0"/>
            </w:tcBorders>
            <w:vAlign w:val="center"/>
          </w:tcPr>
          <w:p>
            <w:pPr>
              <w:pStyle w:val="4"/>
              <w:spacing w:before="0" w:beforeAutospacing="0" w:after="0" w:afterAutospacing="0" w:line="240" w:lineRule="exact"/>
              <w:jc w:val="center"/>
              <w:rPr>
                <w:rFonts w:hint="eastAsia" w:ascii="宋体" w:hAnsi="宋体" w:eastAsia="宋体" w:cs="宋体"/>
                <w:kern w:val="0"/>
                <w:sz w:val="20"/>
                <w:szCs w:val="20"/>
              </w:rPr>
            </w:pPr>
            <w:r>
              <w:rPr>
                <w:rFonts w:hint="eastAsia"/>
                <w:sz w:val="20"/>
                <w:szCs w:val="20"/>
              </w:rPr>
              <w:t>1</w:t>
            </w:r>
          </w:p>
        </w:tc>
        <w:tc>
          <w:tcPr>
            <w:tcW w:w="1517" w:type="dxa"/>
            <w:tcBorders>
              <w:top w:val="nil"/>
              <w:left w:val="nil"/>
              <w:bottom w:val="single" w:color="000000" w:sz="6"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承担医院信息管理工作</w:t>
            </w:r>
          </w:p>
        </w:tc>
        <w:tc>
          <w:tcPr>
            <w:tcW w:w="2381" w:type="dxa"/>
            <w:tcBorders>
              <w:top w:val="nil"/>
              <w:left w:val="nil"/>
              <w:bottom w:val="single" w:color="000000" w:sz="6"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计算机科学与技术、软件工程、网络工程等专业；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tc>
        <w:tc>
          <w:tcPr>
            <w:tcW w:w="568"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nil"/>
              <w:left w:val="nil"/>
              <w:bottom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科研</w:t>
            </w:r>
          </w:p>
        </w:tc>
        <w:tc>
          <w:tcPr>
            <w:tcW w:w="474" w:type="dxa"/>
            <w:tcBorders>
              <w:top w:val="nil"/>
              <w:left w:val="nil"/>
              <w:bottom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17" w:type="dxa"/>
            <w:tcBorders>
              <w:top w:val="nil"/>
              <w:left w:val="nil"/>
              <w:bottom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承担医院日常科研等工作</w:t>
            </w:r>
          </w:p>
        </w:tc>
        <w:tc>
          <w:tcPr>
            <w:tcW w:w="2381" w:type="dxa"/>
            <w:tcBorders>
              <w:top w:val="nil"/>
              <w:left w:val="nil"/>
              <w:bottom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基础医学、肿瘤生物信息学等专业；</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硕士研究生、硕士及以上学历（学位）</w:t>
            </w:r>
          </w:p>
        </w:tc>
        <w:tc>
          <w:tcPr>
            <w:tcW w:w="568" w:type="dxa"/>
            <w:vMerge w:val="continue"/>
            <w:tcBorders>
              <w:left w:val="nil"/>
              <w:right w:val="nil"/>
            </w:tcBorders>
            <w:vAlign w:val="center"/>
          </w:tcPr>
          <w:p>
            <w:pPr>
              <w:widowControl/>
              <w:spacing w:line="240" w:lineRule="exact"/>
              <w:jc w:val="left"/>
              <w:rPr>
                <w:rFonts w:ascii="宋体" w:hAnsi="宋体" w:eastAsia="宋体" w:cs="宋体"/>
                <w:kern w:val="0"/>
                <w:sz w:val="20"/>
                <w:szCs w:val="20"/>
              </w:rPr>
            </w:pPr>
          </w:p>
        </w:tc>
        <w:tc>
          <w:tcPr>
            <w:tcW w:w="1456" w:type="dxa"/>
            <w:vMerge w:val="restart"/>
            <w:tcBorders>
              <w:top w:val="single" w:color="auto" w:sz="4" w:space="0"/>
              <w:left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2022年普通高校应届毕业生</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nil"/>
              <w:left w:val="nil"/>
              <w:bottom w:val="nil"/>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护理</w:t>
            </w:r>
          </w:p>
        </w:tc>
        <w:tc>
          <w:tcPr>
            <w:tcW w:w="474" w:type="dxa"/>
            <w:tcBorders>
              <w:top w:val="nil"/>
              <w:left w:val="nil"/>
              <w:bottom w:val="nil"/>
              <w:right w:val="single" w:color="000000" w:sz="6" w:space="0"/>
            </w:tcBorders>
            <w:vAlign w:val="center"/>
          </w:tcPr>
          <w:p>
            <w:pPr>
              <w:pStyle w:val="4"/>
              <w:spacing w:before="0" w:beforeAutospacing="0" w:after="0" w:afterAutospacing="0" w:line="240" w:lineRule="exact"/>
              <w:jc w:val="center"/>
              <w:rPr>
                <w:rFonts w:hint="eastAsia" w:eastAsia="宋体"/>
                <w:sz w:val="20"/>
                <w:szCs w:val="20"/>
                <w:lang w:eastAsia="zh-CN"/>
              </w:rPr>
            </w:pPr>
            <w:r>
              <w:rPr>
                <w:rFonts w:hint="eastAsia"/>
                <w:sz w:val="20"/>
                <w:szCs w:val="20"/>
                <w:lang w:val="en-US" w:eastAsia="zh-CN"/>
              </w:rPr>
              <w:t>2</w:t>
            </w:r>
          </w:p>
        </w:tc>
        <w:tc>
          <w:tcPr>
            <w:tcW w:w="1517" w:type="dxa"/>
            <w:tcBorders>
              <w:top w:val="nil"/>
              <w:left w:val="nil"/>
              <w:bottom w:val="nil"/>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承担医院护理管理工作</w:t>
            </w:r>
          </w:p>
        </w:tc>
        <w:tc>
          <w:tcPr>
            <w:tcW w:w="2381" w:type="dxa"/>
            <w:tcBorders>
              <w:top w:val="nil"/>
              <w:left w:val="nil"/>
              <w:bottom w:val="nil"/>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护理学专业；</w:t>
            </w:r>
          </w:p>
          <w:p>
            <w:pPr>
              <w:pStyle w:val="4"/>
              <w:spacing w:before="0" w:beforeAutospacing="0" w:after="0" w:afterAutospacing="0" w:line="240" w:lineRule="exact"/>
              <w:rPr>
                <w:sz w:val="20"/>
                <w:szCs w:val="20"/>
              </w:rPr>
            </w:pPr>
            <w:r>
              <w:rPr>
                <w:rFonts w:hint="eastAsia"/>
                <w:sz w:val="20"/>
                <w:szCs w:val="20"/>
              </w:rPr>
              <w:t>硕士研究生、硕士及以上学历（学位）</w:t>
            </w:r>
          </w:p>
        </w:tc>
        <w:tc>
          <w:tcPr>
            <w:tcW w:w="568" w:type="dxa"/>
            <w:vMerge w:val="continue"/>
            <w:tcBorders>
              <w:left w:val="nil"/>
              <w:right w:val="nil"/>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single" w:color="auto" w:sz="4" w:space="0"/>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病案统计室</w:t>
            </w:r>
          </w:p>
        </w:tc>
        <w:tc>
          <w:tcPr>
            <w:tcW w:w="474" w:type="dxa"/>
            <w:tcBorders>
              <w:top w:val="single" w:color="auto" w:sz="4" w:space="0"/>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1</w:t>
            </w:r>
          </w:p>
        </w:tc>
        <w:tc>
          <w:tcPr>
            <w:tcW w:w="1517" w:type="dxa"/>
            <w:tcBorders>
              <w:top w:val="single" w:color="auto" w:sz="4" w:space="0"/>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承担医院病案统计管理工作</w:t>
            </w:r>
          </w:p>
        </w:tc>
        <w:tc>
          <w:tcPr>
            <w:tcW w:w="2381" w:type="dxa"/>
            <w:tcBorders>
              <w:top w:val="single" w:color="auto" w:sz="4" w:space="0"/>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流行病与卫生统计学等专业；</w:t>
            </w:r>
          </w:p>
          <w:p>
            <w:pPr>
              <w:pStyle w:val="4"/>
              <w:spacing w:before="0" w:beforeAutospacing="0" w:after="0" w:afterAutospacing="0" w:line="240" w:lineRule="exact"/>
              <w:rPr>
                <w:sz w:val="20"/>
                <w:szCs w:val="20"/>
              </w:rPr>
            </w:pPr>
            <w:r>
              <w:rPr>
                <w:rFonts w:hint="eastAsia"/>
                <w:sz w:val="20"/>
                <w:szCs w:val="20"/>
              </w:rPr>
              <w:t>硕士研究生、硕士及以上学历（学位）</w:t>
            </w:r>
          </w:p>
        </w:tc>
        <w:tc>
          <w:tcPr>
            <w:tcW w:w="568" w:type="dxa"/>
            <w:vMerge w:val="continue"/>
            <w:tcBorders>
              <w:left w:val="nil"/>
              <w:bottom w:val="single" w:color="auto" w:sz="4" w:space="0"/>
              <w:right w:val="nil"/>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single" w:color="auto" w:sz="4" w:space="0"/>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2338" w:hRule="atLeast"/>
          <w:tblCellSpacing w:w="0" w:type="dxa"/>
          <w:jc w:val="center"/>
        </w:trPr>
        <w:tc>
          <w:tcPr>
            <w:tcW w:w="2216" w:type="dxa"/>
            <w:vMerge w:val="restart"/>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宁波市第一医院</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9</w:t>
            </w:r>
            <w:r>
              <w:rPr>
                <w:rFonts w:hint="eastAsia" w:ascii="宋体" w:hAnsi="宋体" w:eastAsia="宋体" w:cs="宋体"/>
                <w:kern w:val="0"/>
                <w:sz w:val="20"/>
                <w:szCs w:val="20"/>
              </w:rPr>
              <w:t>名）</w:t>
            </w: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临床</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6</w:t>
            </w:r>
          </w:p>
        </w:tc>
        <w:tc>
          <w:tcPr>
            <w:tcW w:w="1517" w:type="dxa"/>
            <w:tcBorders>
              <w:top w:val="nil"/>
              <w:left w:val="nil"/>
              <w:bottom w:val="single" w:color="auto" w:sz="4" w:space="0"/>
              <w:right w:val="single" w:color="000000" w:sz="6" w:space="0"/>
            </w:tcBorders>
            <w:vAlign w:val="center"/>
          </w:tcPr>
          <w:p>
            <w:pPr>
              <w:widowControl/>
              <w:spacing w:line="240" w:lineRule="exact"/>
              <w:jc w:val="left"/>
              <w:textAlignment w:val="center"/>
              <w:rPr>
                <w:rFonts w:hint="eastAsia"/>
                <w:sz w:val="20"/>
                <w:szCs w:val="20"/>
              </w:rPr>
            </w:pPr>
            <w:r>
              <w:rPr>
                <w:rFonts w:hint="eastAsia" w:ascii="宋体" w:hAnsi="宋体" w:eastAsia="宋体" w:cs="宋体"/>
                <w:kern w:val="0"/>
                <w:sz w:val="20"/>
                <w:szCs w:val="20"/>
              </w:rPr>
              <w:t>各科日常诊断、治疗、教学、科研等工作</w:t>
            </w:r>
          </w:p>
        </w:tc>
        <w:tc>
          <w:tcPr>
            <w:tcW w:w="2381" w:type="dxa"/>
            <w:tcBorders>
              <w:top w:val="nil"/>
              <w:left w:val="nil"/>
              <w:bottom w:val="single" w:color="auto" w:sz="4" w:space="0"/>
              <w:right w:val="single" w:color="000000" w:sz="6" w:space="0"/>
            </w:tcBorders>
            <w:vAlign w:val="center"/>
          </w:tcPr>
          <w:p>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老年医学、肿瘤学专业；</w:t>
            </w:r>
          </w:p>
          <w:p>
            <w:pPr>
              <w:widowControl/>
              <w:spacing w:line="240" w:lineRule="exact"/>
              <w:jc w:val="left"/>
              <w:textAlignment w:val="center"/>
              <w:rPr>
                <w:rFonts w:hint="eastAsia"/>
                <w:sz w:val="20"/>
                <w:szCs w:val="20"/>
              </w:rPr>
            </w:pPr>
            <w:r>
              <w:rPr>
                <w:rFonts w:hint="eastAsia" w:ascii="宋体" w:hAnsi="宋体" w:eastAsia="宋体" w:cs="宋体"/>
                <w:kern w:val="0"/>
                <w:sz w:val="20"/>
                <w:szCs w:val="20"/>
              </w:rPr>
              <w:t>硕士研究生、硕士及以上学历（学位）</w:t>
            </w:r>
          </w:p>
        </w:tc>
        <w:tc>
          <w:tcPr>
            <w:tcW w:w="568" w:type="dxa"/>
            <w:vMerge w:val="restart"/>
            <w:tcBorders>
              <w:left w:val="nil"/>
              <w:right w:val="single" w:color="auto" w:sz="4" w:space="0"/>
            </w:tcBorders>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left w:val="single" w:color="auto" w:sz="4" w:space="0"/>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1、2022年普通高校应届毕业生；</w:t>
            </w:r>
          </w:p>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2、已取得学历学位的历届生，年龄35周岁以下（其中对博士研究生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周岁以下）。有副高及以上专业技术任职资格的学历（学位）可放宽至本科（学士）。临床岗位要求已取得执业医师资格。</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auto" w:sz="4" w:space="0"/>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公共卫生</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3</w:t>
            </w:r>
          </w:p>
        </w:tc>
        <w:tc>
          <w:tcPr>
            <w:tcW w:w="1517" w:type="dxa"/>
            <w:tcBorders>
              <w:top w:val="nil"/>
              <w:left w:val="nil"/>
              <w:bottom w:val="single" w:color="auto" w:sz="4" w:space="0"/>
              <w:right w:val="single" w:color="000000" w:sz="6" w:space="0"/>
            </w:tcBorders>
            <w:vAlign w:val="center"/>
          </w:tcPr>
          <w:p>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承担医院公共卫生工作</w:t>
            </w:r>
          </w:p>
        </w:tc>
        <w:tc>
          <w:tcPr>
            <w:tcW w:w="2381" w:type="dxa"/>
            <w:tcBorders>
              <w:top w:val="nil"/>
              <w:left w:val="nil"/>
              <w:bottom w:val="single" w:color="auto" w:sz="4" w:space="0"/>
              <w:right w:val="single" w:color="000000" w:sz="6" w:space="0"/>
            </w:tcBorders>
            <w:vAlign w:val="center"/>
          </w:tcPr>
          <w:p>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公共卫生</w:t>
            </w:r>
            <w:r>
              <w:rPr>
                <w:rFonts w:hint="eastAsia" w:ascii="宋体" w:hAnsi="宋体" w:eastAsia="宋体" w:cs="宋体"/>
                <w:kern w:val="0"/>
                <w:sz w:val="20"/>
                <w:szCs w:val="20"/>
                <w:lang w:eastAsia="zh-CN"/>
              </w:rPr>
              <w:t>、</w:t>
            </w:r>
            <w:r>
              <w:rPr>
                <w:rFonts w:hint="eastAsia"/>
                <w:sz w:val="20"/>
                <w:szCs w:val="20"/>
              </w:rPr>
              <w:t>流行病与卫生统计学</w:t>
            </w:r>
            <w:r>
              <w:rPr>
                <w:rFonts w:hint="eastAsia" w:ascii="宋体" w:hAnsi="宋体" w:eastAsia="宋体" w:cs="宋体"/>
                <w:kern w:val="0"/>
                <w:sz w:val="20"/>
                <w:szCs w:val="20"/>
              </w:rPr>
              <w:t>专业；</w:t>
            </w:r>
          </w:p>
          <w:p>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硕士研究生、硕士及以上学历（学位）</w:t>
            </w:r>
          </w:p>
        </w:tc>
        <w:tc>
          <w:tcPr>
            <w:tcW w:w="568" w:type="dxa"/>
            <w:vMerge w:val="continue"/>
            <w:tcBorders>
              <w:left w:val="nil"/>
              <w:bottom w:val="single" w:color="auto" w:sz="4" w:space="0"/>
              <w:right w:val="single" w:color="auto" w:sz="4"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single" w:color="auto" w:sz="4" w:space="0"/>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restart"/>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中国科学院大学宁波华美医院</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lang w:eastAsia="zh-CN"/>
              </w:rPr>
              <w:t>（50名）</w:t>
            </w:r>
          </w:p>
        </w:tc>
        <w:tc>
          <w:tcPr>
            <w:tcW w:w="523" w:type="dxa"/>
            <w:tcBorders>
              <w:top w:val="nil"/>
              <w:left w:val="nil"/>
              <w:bottom w:val="single" w:color="auto" w:sz="4" w:space="0"/>
              <w:right w:val="single" w:color="000000" w:sz="6" w:space="0"/>
            </w:tcBorders>
            <w:vAlign w:val="center"/>
          </w:tcPr>
          <w:p>
            <w:pPr>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临床</w:t>
            </w:r>
          </w:p>
        </w:tc>
        <w:tc>
          <w:tcPr>
            <w:tcW w:w="474" w:type="dxa"/>
            <w:tcBorders>
              <w:top w:val="nil"/>
              <w:left w:val="nil"/>
              <w:bottom w:val="single" w:color="auto" w:sz="4" w:space="0"/>
              <w:right w:val="single" w:color="000000" w:sz="6" w:space="0"/>
            </w:tcBorders>
            <w:vAlign w:val="center"/>
          </w:tcPr>
          <w:p>
            <w:pPr>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20</w:t>
            </w:r>
          </w:p>
        </w:tc>
        <w:tc>
          <w:tcPr>
            <w:tcW w:w="1517"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各科日常诊断、治疗、教学、科研等工作</w:t>
            </w:r>
          </w:p>
        </w:tc>
        <w:tc>
          <w:tcPr>
            <w:tcW w:w="2381" w:type="dxa"/>
            <w:tcBorders>
              <w:top w:val="nil"/>
              <w:left w:val="nil"/>
              <w:bottom w:val="single" w:color="auto" w:sz="4" w:space="0"/>
              <w:right w:val="single" w:color="000000" w:sz="6" w:space="0"/>
            </w:tcBorders>
            <w:vAlign w:val="center"/>
          </w:tcPr>
          <w:p>
            <w:pPr>
              <w:spacing w:line="240" w:lineRule="exac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心血管病学、消化病学、呼吸病学、肾脏病学、感染病学、神经病学、肿瘤学、骨科学、外科学、胸外科、泌尿外科、心脏大血管外科、神经外科、妇产科学、皮肤病学、放射介入、影像医学与核医学、超声医学、口腔科、肿瘤放疗、麻醉学等专业；</w:t>
            </w:r>
          </w:p>
          <w:p>
            <w:pPr>
              <w:spacing w:line="240" w:lineRule="exac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博士研究生、博士及以上学历（学位）</w:t>
            </w:r>
          </w:p>
        </w:tc>
        <w:tc>
          <w:tcPr>
            <w:tcW w:w="568" w:type="dxa"/>
            <w:vMerge w:val="restart"/>
            <w:tcBorders>
              <w:top w:val="nil"/>
              <w:left w:val="nil"/>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top w:val="nil"/>
              <w:left w:val="nil"/>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1、2022年普通高校应届毕业生；</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2、已取得学历学位的历届生，年龄35周岁以下（其中对博士研究生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周岁以下）。有副高及以上专业技术任职资格的学历（学位）可放宽至本科（学士）。</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护理</w:t>
            </w:r>
          </w:p>
        </w:tc>
        <w:tc>
          <w:tcPr>
            <w:tcW w:w="474" w:type="dxa"/>
            <w:tcBorders>
              <w:top w:val="nil"/>
              <w:left w:val="nil"/>
              <w:bottom w:val="single" w:color="auto" w:sz="4" w:space="0"/>
              <w:right w:val="single" w:color="000000" w:sz="6" w:space="0"/>
            </w:tcBorders>
            <w:vAlign w:val="center"/>
          </w:tcPr>
          <w:p>
            <w:pPr>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7</w:t>
            </w:r>
          </w:p>
        </w:tc>
        <w:tc>
          <w:tcPr>
            <w:tcW w:w="1517"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承担医院护理管理工作。</w:t>
            </w:r>
          </w:p>
        </w:tc>
        <w:tc>
          <w:tcPr>
            <w:tcW w:w="2381"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护理学专业；</w:t>
            </w:r>
          </w:p>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硕士研究生、硕士及以上学历（学位）</w:t>
            </w:r>
          </w:p>
          <w:p>
            <w:pPr>
              <w:spacing w:line="240" w:lineRule="exact"/>
              <w:jc w:val="left"/>
              <w:rPr>
                <w:rFonts w:hint="eastAsia" w:ascii="宋体" w:hAnsi="宋体" w:eastAsia="宋体" w:cs="宋体"/>
                <w:kern w:val="0"/>
                <w:sz w:val="20"/>
                <w:szCs w:val="20"/>
                <w:lang w:val="en-US" w:eastAsia="zh-CN" w:bidi="ar-SA"/>
              </w:rPr>
            </w:pPr>
            <w:r>
              <w:rPr>
                <w:rFonts w:hint="eastAsia"/>
                <w:sz w:val="20"/>
                <w:szCs w:val="20"/>
                <w:lang w:eastAsia="zh-CN"/>
              </w:rPr>
              <w:t>其中</w:t>
            </w:r>
            <w:r>
              <w:rPr>
                <w:rFonts w:hint="eastAsia" w:ascii="宋体" w:hAnsi="宋体" w:eastAsia="宋体" w:cs="宋体"/>
                <w:sz w:val="20"/>
                <w:szCs w:val="20"/>
                <w:lang w:val="en-US" w:eastAsia="zh-CN"/>
              </w:rPr>
              <w:t>5</w:t>
            </w:r>
            <w:r>
              <w:rPr>
                <w:rFonts w:hint="eastAsia"/>
                <w:sz w:val="20"/>
                <w:szCs w:val="20"/>
                <w:lang w:val="en-US" w:eastAsia="zh-CN"/>
              </w:rPr>
              <w:t>名博士研究生、</w:t>
            </w:r>
            <w:r>
              <w:rPr>
                <w:rFonts w:hint="eastAsia"/>
                <w:sz w:val="20"/>
                <w:szCs w:val="20"/>
                <w:lang w:eastAsia="zh-CN"/>
              </w:rPr>
              <w:t>博</w:t>
            </w:r>
            <w:r>
              <w:rPr>
                <w:rFonts w:hint="eastAsia"/>
                <w:sz w:val="20"/>
                <w:szCs w:val="20"/>
              </w:rPr>
              <w:t>士及以上学历（学位）</w:t>
            </w:r>
          </w:p>
        </w:tc>
        <w:tc>
          <w:tcPr>
            <w:tcW w:w="568" w:type="dxa"/>
            <w:vMerge w:val="continue"/>
            <w:tcBorders>
              <w:left w:val="nil"/>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研究院</w:t>
            </w:r>
          </w:p>
        </w:tc>
        <w:tc>
          <w:tcPr>
            <w:tcW w:w="474" w:type="dxa"/>
            <w:tcBorders>
              <w:top w:val="nil"/>
              <w:left w:val="nil"/>
              <w:bottom w:val="single" w:color="auto" w:sz="4" w:space="0"/>
              <w:right w:val="single" w:color="000000" w:sz="6" w:space="0"/>
            </w:tcBorders>
            <w:vAlign w:val="center"/>
          </w:tcPr>
          <w:p>
            <w:pPr>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10</w:t>
            </w:r>
          </w:p>
        </w:tc>
        <w:tc>
          <w:tcPr>
            <w:tcW w:w="1517"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从事生命与健康产业相关科学研究。</w:t>
            </w:r>
          </w:p>
        </w:tc>
        <w:tc>
          <w:tcPr>
            <w:tcW w:w="2381"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生物医药、人工智能、流行病与卫生统计等专业：</w:t>
            </w:r>
          </w:p>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博士研究生、博士及以上学历（学位）</w:t>
            </w:r>
          </w:p>
        </w:tc>
        <w:tc>
          <w:tcPr>
            <w:tcW w:w="568" w:type="dxa"/>
            <w:vMerge w:val="continue"/>
            <w:tcBorders>
              <w:left w:val="nil"/>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管理</w:t>
            </w:r>
          </w:p>
        </w:tc>
        <w:tc>
          <w:tcPr>
            <w:tcW w:w="474" w:type="dxa"/>
            <w:tcBorders>
              <w:top w:val="nil"/>
              <w:left w:val="nil"/>
              <w:bottom w:val="single" w:color="auto" w:sz="4" w:space="0"/>
              <w:right w:val="single" w:color="000000" w:sz="6" w:space="0"/>
            </w:tcBorders>
            <w:vAlign w:val="center"/>
          </w:tcPr>
          <w:p>
            <w:pPr>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3</w:t>
            </w:r>
          </w:p>
        </w:tc>
        <w:tc>
          <w:tcPr>
            <w:tcW w:w="1517"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承担医院行政管理工作</w:t>
            </w:r>
          </w:p>
        </w:tc>
        <w:tc>
          <w:tcPr>
            <w:tcW w:w="2381"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公共卫生、社会医学与卫生事业管理、医院管理等专业；</w:t>
            </w:r>
          </w:p>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硕士研究生、硕士及以上学历（学位）</w:t>
            </w:r>
          </w:p>
          <w:p>
            <w:pPr>
              <w:spacing w:line="240" w:lineRule="exact"/>
              <w:jc w:val="left"/>
              <w:rPr>
                <w:rFonts w:hint="eastAsia" w:ascii="宋体" w:hAnsi="宋体" w:eastAsia="宋体" w:cs="宋体"/>
                <w:kern w:val="0"/>
                <w:sz w:val="20"/>
                <w:szCs w:val="20"/>
                <w:lang w:val="en-US" w:eastAsia="zh-CN" w:bidi="ar-SA"/>
              </w:rPr>
            </w:pPr>
            <w:r>
              <w:rPr>
                <w:rFonts w:hint="eastAsia"/>
                <w:sz w:val="20"/>
                <w:szCs w:val="20"/>
                <w:lang w:eastAsia="zh-CN"/>
              </w:rPr>
              <w:t>其中</w:t>
            </w:r>
            <w:r>
              <w:rPr>
                <w:rFonts w:hint="eastAsia" w:ascii="宋体" w:hAnsi="宋体" w:eastAsia="宋体" w:cs="宋体"/>
                <w:sz w:val="20"/>
                <w:szCs w:val="20"/>
                <w:lang w:val="en-US" w:eastAsia="zh-CN"/>
              </w:rPr>
              <w:t>1</w:t>
            </w:r>
            <w:r>
              <w:rPr>
                <w:rFonts w:hint="eastAsia"/>
                <w:sz w:val="20"/>
                <w:szCs w:val="20"/>
                <w:lang w:val="en-US" w:eastAsia="zh-CN"/>
              </w:rPr>
              <w:t>名博士研究生、</w:t>
            </w:r>
            <w:r>
              <w:rPr>
                <w:rFonts w:hint="eastAsia"/>
                <w:sz w:val="20"/>
                <w:szCs w:val="20"/>
                <w:lang w:eastAsia="zh-CN"/>
              </w:rPr>
              <w:t>博</w:t>
            </w:r>
            <w:r>
              <w:rPr>
                <w:rFonts w:hint="eastAsia"/>
                <w:sz w:val="20"/>
                <w:szCs w:val="20"/>
              </w:rPr>
              <w:t>士及以上学历（学位）</w:t>
            </w:r>
          </w:p>
        </w:tc>
        <w:tc>
          <w:tcPr>
            <w:tcW w:w="568" w:type="dxa"/>
            <w:vMerge w:val="continue"/>
            <w:tcBorders>
              <w:left w:val="nil"/>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1456" w:type="dxa"/>
            <w:vMerge w:val="restart"/>
            <w:tcBorders>
              <w:top w:val="single" w:color="auto" w:sz="4" w:space="0"/>
              <w:left w:val="nil"/>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2022年普通高校应届毕业生</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bottom w:val="single" w:color="auto" w:sz="4"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科研</w:t>
            </w:r>
          </w:p>
        </w:tc>
        <w:tc>
          <w:tcPr>
            <w:tcW w:w="474" w:type="dxa"/>
            <w:tcBorders>
              <w:top w:val="nil"/>
              <w:left w:val="nil"/>
              <w:bottom w:val="single" w:color="auto" w:sz="4" w:space="0"/>
              <w:right w:val="single" w:color="000000" w:sz="6" w:space="0"/>
            </w:tcBorders>
            <w:vAlign w:val="center"/>
          </w:tcPr>
          <w:p>
            <w:pPr>
              <w:spacing w:line="240" w:lineRule="exact"/>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10</w:t>
            </w:r>
          </w:p>
        </w:tc>
        <w:tc>
          <w:tcPr>
            <w:tcW w:w="1517"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承担医院日常科研等工作</w:t>
            </w:r>
          </w:p>
        </w:tc>
        <w:tc>
          <w:tcPr>
            <w:tcW w:w="2381" w:type="dxa"/>
            <w:tcBorders>
              <w:top w:val="nil"/>
              <w:left w:val="nil"/>
              <w:bottom w:val="single" w:color="auto" w:sz="4" w:space="0"/>
              <w:right w:val="single" w:color="000000" w:sz="6" w:space="0"/>
            </w:tcBorders>
            <w:vAlign w:val="center"/>
          </w:tcPr>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生物医药、流行病与卫生统计、基础医学等相关专业；</w:t>
            </w:r>
          </w:p>
          <w:p>
            <w:pPr>
              <w:spacing w:line="240" w:lineRule="exact"/>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博士研究生、博士及以上学历（学位）</w:t>
            </w:r>
          </w:p>
        </w:tc>
        <w:tc>
          <w:tcPr>
            <w:tcW w:w="568" w:type="dxa"/>
            <w:vMerge w:val="continue"/>
            <w:tcBorders>
              <w:left w:val="nil"/>
              <w:bottom w:val="single" w:color="auto" w:sz="4"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1456"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tcBorders>
              <w:left w:val="single" w:color="000000" w:sz="6" w:space="0"/>
              <w:bottom w:val="single" w:color="auto" w:sz="4" w:space="0"/>
              <w:right w:val="single" w:color="000000" w:sz="6" w:space="0"/>
            </w:tcBorders>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宁波市妇女儿童医院</w:t>
            </w:r>
          </w:p>
          <w:p>
            <w:pPr>
              <w:widowControl/>
              <w:spacing w:line="240" w:lineRule="exac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（1名）</w:t>
            </w:r>
          </w:p>
        </w:tc>
        <w:tc>
          <w:tcPr>
            <w:tcW w:w="523" w:type="dxa"/>
            <w:tcBorders>
              <w:top w:val="nil"/>
              <w:left w:val="nil"/>
              <w:bottom w:val="single" w:color="auto" w:sz="4" w:space="0"/>
              <w:right w:val="single" w:color="000000" w:sz="6" w:space="0"/>
            </w:tcBorders>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管理</w:t>
            </w:r>
          </w:p>
        </w:tc>
        <w:tc>
          <w:tcPr>
            <w:tcW w:w="474" w:type="dxa"/>
            <w:tcBorders>
              <w:top w:val="nil"/>
              <w:left w:val="nil"/>
              <w:bottom w:val="single" w:color="auto" w:sz="4" w:space="0"/>
              <w:right w:val="single" w:color="000000" w:sz="6" w:space="0"/>
            </w:tcBorders>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1</w:t>
            </w:r>
          </w:p>
        </w:tc>
        <w:tc>
          <w:tcPr>
            <w:tcW w:w="1517" w:type="dxa"/>
            <w:tcBorders>
              <w:top w:val="nil"/>
              <w:left w:val="nil"/>
              <w:bottom w:val="single" w:color="auto" w:sz="4" w:space="0"/>
              <w:right w:val="single" w:color="000000" w:sz="6" w:space="0"/>
            </w:tcBorders>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outlineLvl w:val="9"/>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承担医院管理工作</w:t>
            </w:r>
          </w:p>
        </w:tc>
        <w:tc>
          <w:tcPr>
            <w:tcW w:w="2381" w:type="dxa"/>
            <w:tcBorders>
              <w:top w:val="nil"/>
              <w:left w:val="nil"/>
              <w:bottom w:val="single" w:color="auto" w:sz="4" w:space="0"/>
              <w:right w:val="single" w:color="000000" w:sz="6" w:space="0"/>
            </w:tcBorders>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left"/>
              <w:textAlignment w:val="auto"/>
              <w:outlineLvl w:val="9"/>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公共卫生、社会医学与卫生事业管理、医院管理等专业；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auto"/>
              <w:outlineLvl w:val="9"/>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硕士研究生、硕士及以上学历（学位）</w:t>
            </w:r>
          </w:p>
        </w:tc>
        <w:tc>
          <w:tcPr>
            <w:tcW w:w="568" w:type="dxa"/>
            <w:tcBorders>
              <w:top w:val="nil"/>
              <w:left w:val="nil"/>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tcBorders>
              <w:top w:val="nil"/>
              <w:left w:val="nil"/>
              <w:bottom w:val="single" w:color="auto" w:sz="4" w:space="0"/>
              <w:right w:val="single" w:color="000000" w:sz="6"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eastAsia="宋体" w:cs="宋体"/>
                <w:kern w:val="0"/>
                <w:sz w:val="20"/>
                <w:szCs w:val="20"/>
              </w:rPr>
            </w:pPr>
            <w:r>
              <w:rPr>
                <w:rFonts w:hint="eastAsia" w:ascii="宋体" w:hAnsi="宋体" w:eastAsia="宋体" w:cs="宋体"/>
                <w:kern w:val="0"/>
                <w:sz w:val="20"/>
                <w:szCs w:val="20"/>
              </w:rPr>
              <w:t>2022年普通高校应届毕业生</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restart"/>
            <w:tcBorders>
              <w:top w:val="nil"/>
              <w:left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宁波市中医院</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17</w:t>
            </w:r>
            <w:r>
              <w:rPr>
                <w:rFonts w:hint="eastAsia" w:ascii="宋体" w:hAnsi="宋体" w:eastAsia="宋体" w:cs="宋体"/>
                <w:kern w:val="0"/>
                <w:sz w:val="20"/>
                <w:szCs w:val="20"/>
              </w:rPr>
              <w:t>名）</w:t>
            </w: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康复科</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承担日常诊断、教学、科研等工作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康复医学、中西医结合临床专业；</w:t>
            </w:r>
          </w:p>
          <w:p>
            <w:pPr>
              <w:pStyle w:val="4"/>
              <w:spacing w:before="0" w:beforeAutospacing="0" w:after="0" w:afterAutospacing="0" w:line="240" w:lineRule="exact"/>
              <w:rPr>
                <w:rFonts w:hint="eastAsia"/>
                <w:sz w:val="20"/>
                <w:szCs w:val="20"/>
                <w:lang w:eastAsia="zh-CN"/>
              </w:rPr>
            </w:pPr>
            <w:r>
              <w:rPr>
                <w:rFonts w:hint="eastAsia"/>
                <w:sz w:val="20"/>
                <w:szCs w:val="20"/>
              </w:rPr>
              <w:t>硕士研究生、硕士及以上学历（学位）</w:t>
            </w:r>
            <w:r>
              <w:rPr>
                <w:rFonts w:hint="eastAsia"/>
                <w:sz w:val="20"/>
                <w:szCs w:val="20"/>
                <w:lang w:eastAsia="zh-CN"/>
              </w:rPr>
              <w:t>；</w:t>
            </w:r>
          </w:p>
          <w:p>
            <w:pPr>
              <w:pStyle w:val="4"/>
              <w:spacing w:before="0" w:beforeAutospacing="0" w:after="0" w:afterAutospacing="0" w:line="240" w:lineRule="exact"/>
              <w:rPr>
                <w:rFonts w:hint="eastAsia"/>
                <w:sz w:val="20"/>
                <w:szCs w:val="20"/>
                <w:lang w:eastAsia="zh-CN"/>
              </w:rPr>
            </w:pPr>
            <w:r>
              <w:rPr>
                <w:rFonts w:hint="eastAsia" w:ascii="宋体" w:hAnsi="宋体" w:eastAsia="宋体" w:cs="宋体"/>
                <w:kern w:val="0"/>
                <w:sz w:val="20"/>
                <w:szCs w:val="20"/>
              </w:rPr>
              <w:t>有</w:t>
            </w:r>
            <w:r>
              <w:rPr>
                <w:rFonts w:ascii="宋体" w:hAnsi="宋体" w:eastAsia="宋体" w:cs="宋体"/>
                <w:kern w:val="0"/>
                <w:sz w:val="20"/>
                <w:szCs w:val="20"/>
              </w:rPr>
              <w:t>10年</w:t>
            </w:r>
            <w:r>
              <w:rPr>
                <w:rFonts w:hint="eastAsia" w:ascii="宋体" w:hAnsi="宋体" w:eastAsia="宋体" w:cs="宋体"/>
                <w:kern w:val="0"/>
                <w:sz w:val="20"/>
                <w:szCs w:val="20"/>
              </w:rPr>
              <w:t>及</w:t>
            </w:r>
            <w:r>
              <w:rPr>
                <w:rFonts w:ascii="宋体" w:hAnsi="宋体" w:eastAsia="宋体" w:cs="宋体"/>
                <w:kern w:val="0"/>
                <w:sz w:val="20"/>
                <w:szCs w:val="20"/>
              </w:rPr>
              <w:t>以上</w:t>
            </w:r>
            <w:r>
              <w:rPr>
                <w:rFonts w:hint="eastAsia" w:ascii="宋体" w:hAnsi="宋体" w:eastAsia="宋体" w:cs="宋体"/>
                <w:kern w:val="0"/>
                <w:sz w:val="20"/>
                <w:szCs w:val="20"/>
              </w:rPr>
              <w:t>从事医学康复工作经历，有</w:t>
            </w:r>
            <w:r>
              <w:rPr>
                <w:rFonts w:ascii="宋体" w:hAnsi="宋体" w:eastAsia="宋体" w:cs="宋体"/>
                <w:kern w:val="0"/>
                <w:sz w:val="20"/>
                <w:szCs w:val="20"/>
              </w:rPr>
              <w:t>筹建康复病房经验</w:t>
            </w:r>
            <w:r>
              <w:rPr>
                <w:rFonts w:hint="eastAsia" w:ascii="宋体" w:hAnsi="宋体" w:eastAsia="宋体" w:cs="宋体"/>
                <w:kern w:val="0"/>
                <w:sz w:val="20"/>
                <w:szCs w:val="20"/>
              </w:rPr>
              <w:t>。</w:t>
            </w:r>
          </w:p>
        </w:tc>
        <w:tc>
          <w:tcPr>
            <w:tcW w:w="568" w:type="dxa"/>
            <w:tcBorders>
              <w:top w:val="nil"/>
              <w:left w:val="nil"/>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top w:val="nil"/>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已取得学历学位的历届生，年龄35周岁以下</w:t>
            </w:r>
            <w:r>
              <w:rPr>
                <w:rFonts w:hint="eastAsia" w:ascii="宋体" w:hAnsi="宋体" w:eastAsia="宋体" w:cs="宋体"/>
                <w:kern w:val="0"/>
                <w:sz w:val="20"/>
                <w:szCs w:val="20"/>
                <w:lang w:eastAsia="zh-CN"/>
              </w:rPr>
              <w:t>（其中</w:t>
            </w:r>
            <w:r>
              <w:rPr>
                <w:rFonts w:hint="eastAsia" w:ascii="宋体" w:hAnsi="宋体" w:eastAsia="宋体" w:cs="宋体"/>
                <w:kern w:val="0"/>
                <w:sz w:val="20"/>
                <w:szCs w:val="20"/>
              </w:rPr>
              <w:t>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。有副高及以上专业技术任职资格的学历（学位）可放宽至本科（学士）。临床岗位要求已取得执业医师资格。</w:t>
            </w:r>
          </w:p>
        </w:tc>
      </w:tr>
      <w:tr>
        <w:tblPrEx>
          <w:tblLayout w:type="fixed"/>
          <w:tblCellMar>
            <w:top w:w="0" w:type="dxa"/>
            <w:left w:w="0" w:type="dxa"/>
            <w:bottom w:w="0" w:type="dxa"/>
            <w:right w:w="0" w:type="dxa"/>
          </w:tblCellMar>
        </w:tblPrEx>
        <w:trPr>
          <w:trHeight w:val="978"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皮肤科</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承担日常诊断、教学、科研等工作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中医外科学（皮肤病方向）专业；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tc>
        <w:tc>
          <w:tcPr>
            <w:tcW w:w="568" w:type="dxa"/>
            <w:vMerge w:val="restart"/>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r>
      <w:tr>
        <w:tblPrEx>
          <w:tblLayout w:type="fixed"/>
          <w:tblCellMar>
            <w:top w:w="0" w:type="dxa"/>
            <w:left w:w="0" w:type="dxa"/>
            <w:bottom w:w="0" w:type="dxa"/>
            <w:right w:w="0" w:type="dxa"/>
          </w:tblCellMar>
        </w:tblPrEx>
        <w:trPr>
          <w:trHeight w:val="90"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感染科</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承担日常诊断、教学、科研等工作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中医内科学（呼吸病方向）专业；</w:t>
            </w:r>
          </w:p>
          <w:p>
            <w:pPr>
              <w:pStyle w:val="4"/>
              <w:spacing w:before="0" w:beforeAutospacing="0" w:after="0" w:afterAutospacing="0" w:line="240" w:lineRule="exact"/>
              <w:rPr>
                <w:rFonts w:hint="eastAsia"/>
                <w:sz w:val="20"/>
                <w:szCs w:val="20"/>
                <w:lang w:eastAsia="zh-CN"/>
              </w:rPr>
            </w:pPr>
            <w:r>
              <w:rPr>
                <w:rFonts w:hint="eastAsia"/>
                <w:sz w:val="20"/>
                <w:szCs w:val="20"/>
              </w:rPr>
              <w:t>硕士研究生、硕士及以上学历（学位）</w:t>
            </w:r>
          </w:p>
        </w:tc>
        <w:tc>
          <w:tcPr>
            <w:tcW w:w="568" w:type="dxa"/>
            <w:vMerge w:val="continue"/>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脾胃病科</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承担日常诊断、教学、科研等工作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lang w:eastAsia="zh-CN"/>
              </w:rPr>
            </w:pPr>
            <w:r>
              <w:rPr>
                <w:rFonts w:hint="eastAsia"/>
                <w:sz w:val="20"/>
                <w:szCs w:val="20"/>
              </w:rPr>
              <w:t>临床医学（内科学）专业；硕士研究生、硕士及以上学历（学位）</w:t>
            </w:r>
          </w:p>
        </w:tc>
        <w:tc>
          <w:tcPr>
            <w:tcW w:w="568" w:type="dxa"/>
            <w:vMerge w:val="continue"/>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vMerge w:val="continue"/>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医院感染</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承担医院感染管理工作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lang w:eastAsia="zh-CN"/>
              </w:rPr>
            </w:pPr>
            <w:r>
              <w:rPr>
                <w:rFonts w:hint="eastAsia"/>
                <w:sz w:val="20"/>
                <w:szCs w:val="20"/>
              </w:rPr>
              <w:t>临床医学（内科学）专业；硕士研究生、硕士及以上学历（学位）</w:t>
            </w:r>
            <w:r>
              <w:rPr>
                <w:rFonts w:hint="eastAsia"/>
                <w:sz w:val="20"/>
                <w:szCs w:val="20"/>
                <w:lang w:eastAsia="zh-CN"/>
              </w:rPr>
              <w:t>；</w:t>
            </w:r>
          </w:p>
          <w:p>
            <w:pPr>
              <w:pStyle w:val="4"/>
              <w:spacing w:before="0" w:beforeAutospacing="0" w:after="0" w:afterAutospacing="0" w:line="240" w:lineRule="exact"/>
              <w:rPr>
                <w:rFonts w:hint="eastAsia"/>
                <w:sz w:val="20"/>
                <w:szCs w:val="20"/>
                <w:lang w:eastAsia="zh-CN"/>
              </w:rPr>
            </w:pPr>
            <w:r>
              <w:rPr>
                <w:rFonts w:hint="eastAsia" w:ascii="宋体" w:hAnsi="宋体" w:eastAsia="宋体" w:cs="宋体"/>
                <w:kern w:val="0"/>
                <w:sz w:val="20"/>
                <w:szCs w:val="20"/>
              </w:rPr>
              <w:t>有</w:t>
            </w:r>
            <w:r>
              <w:rPr>
                <w:rFonts w:ascii="宋体" w:hAnsi="宋体" w:eastAsia="宋体" w:cs="宋体"/>
                <w:kern w:val="0"/>
                <w:sz w:val="20"/>
                <w:szCs w:val="20"/>
              </w:rPr>
              <w:t>10年及以上</w:t>
            </w:r>
            <w:r>
              <w:rPr>
                <w:rFonts w:hint="eastAsia" w:ascii="宋体" w:hAnsi="宋体" w:eastAsia="宋体" w:cs="宋体"/>
                <w:kern w:val="0"/>
                <w:sz w:val="20"/>
                <w:szCs w:val="20"/>
              </w:rPr>
              <w:t>从事临床感染工作经历。</w:t>
            </w:r>
          </w:p>
        </w:tc>
        <w:tc>
          <w:tcPr>
            <w:tcW w:w="568" w:type="dxa"/>
            <w:vMerge w:val="continue"/>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vMerge w:val="continue"/>
            <w:tcBorders>
              <w:left w:val="nil"/>
              <w:bottom w:val="single" w:color="000000" w:sz="6" w:space="0"/>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肾病科</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承担日常诊断、教学、科研等工作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中医内科学（肾脏病方向）专业；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tc>
        <w:tc>
          <w:tcPr>
            <w:tcW w:w="568" w:type="dxa"/>
            <w:vMerge w:val="restart"/>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tcBorders>
              <w:left w:val="nil"/>
              <w:bottom w:val="single" w:color="000000" w:sz="6" w:space="0"/>
              <w:right w:val="single" w:color="000000" w:sz="6" w:space="0"/>
            </w:tcBorders>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2022年普通高校应届毕业生。</w:t>
            </w:r>
          </w:p>
        </w:tc>
      </w:tr>
      <w:tr>
        <w:tblPrEx>
          <w:tblLayout w:type="fixed"/>
          <w:tblCellMar>
            <w:top w:w="0" w:type="dxa"/>
            <w:left w:w="0" w:type="dxa"/>
            <w:bottom w:w="0" w:type="dxa"/>
            <w:right w:w="0" w:type="dxa"/>
          </w:tblCellMar>
        </w:tblPrEx>
        <w:trPr>
          <w:trHeight w:val="2336"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脑病科</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承担日常诊疗、教学、科研及神经介入等工作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中医学（脑病方向）、内科学（神经内科学）专业；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tc>
        <w:tc>
          <w:tcPr>
            <w:tcW w:w="568" w:type="dxa"/>
            <w:vMerge w:val="continue"/>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vMerge w:val="restart"/>
            <w:tcBorders>
              <w:left w:val="nil"/>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1、2022年普通高校应届毕业生；</w:t>
            </w:r>
          </w:p>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2、已取得学历学位的历届生，年龄35周岁以下（其中对博士研究生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周岁以下）。临床岗位要求已取得执业医师资格。</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外科</w:t>
            </w:r>
          </w:p>
        </w:tc>
        <w:tc>
          <w:tcPr>
            <w:tcW w:w="474" w:type="dxa"/>
            <w:tcBorders>
              <w:top w:val="nil"/>
              <w:left w:val="nil"/>
              <w:bottom w:val="single" w:color="auto" w:sz="4" w:space="0"/>
              <w:right w:val="single" w:color="000000" w:sz="6" w:space="0"/>
            </w:tcBorders>
            <w:vAlign w:val="center"/>
          </w:tcPr>
          <w:p>
            <w:pPr>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1517" w:type="dxa"/>
            <w:tcBorders>
              <w:top w:val="nil"/>
              <w:left w:val="nil"/>
              <w:bottom w:val="single" w:color="auto" w:sz="4" w:space="0"/>
              <w:right w:val="single" w:color="000000" w:sz="6" w:space="0"/>
            </w:tcBorders>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各科日常诊断、治疗、教学、科研等工作</w:t>
            </w:r>
          </w:p>
        </w:tc>
        <w:tc>
          <w:tcPr>
            <w:tcW w:w="2381" w:type="dxa"/>
            <w:tcBorders>
              <w:top w:val="nil"/>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普外科学、胸外科学等</w:t>
            </w:r>
            <w:r>
              <w:rPr>
                <w:rFonts w:hint="eastAsia" w:ascii="宋体" w:hAnsi="宋体" w:eastAsia="宋体" w:cs="宋体"/>
                <w:kern w:val="0"/>
                <w:sz w:val="20"/>
                <w:szCs w:val="20"/>
                <w:lang w:eastAsia="zh-CN"/>
              </w:rPr>
              <w:t>专</w:t>
            </w:r>
            <w:r>
              <w:rPr>
                <w:rFonts w:hint="eastAsia" w:ascii="宋体" w:hAnsi="宋体" w:eastAsia="宋体" w:cs="宋体"/>
                <w:kern w:val="0"/>
                <w:sz w:val="20"/>
                <w:szCs w:val="20"/>
              </w:rPr>
              <w:t>业；</w:t>
            </w:r>
          </w:p>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硕士研究生、硕士及以上学历（学位）</w:t>
            </w:r>
          </w:p>
        </w:tc>
        <w:tc>
          <w:tcPr>
            <w:tcW w:w="568" w:type="dxa"/>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vMerge w:val="continue"/>
            <w:tcBorders>
              <w:left w:val="nil"/>
              <w:bottom w:val="single" w:color="000000" w:sz="6" w:space="0"/>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vMerge w:val="restart"/>
            <w:tcBorders>
              <w:top w:val="nil"/>
              <w:left w:val="nil"/>
              <w:right w:val="single" w:color="000000" w:sz="6" w:space="0"/>
            </w:tcBorders>
            <w:vAlign w:val="center"/>
          </w:tcPr>
          <w:p>
            <w:pPr>
              <w:pStyle w:val="4"/>
              <w:spacing w:before="0" w:beforeAutospacing="0" w:after="0" w:afterAutospacing="0" w:line="240" w:lineRule="exact"/>
              <w:jc w:val="center"/>
              <w:rPr>
                <w:rFonts w:hint="eastAsia" w:eastAsia="宋体"/>
                <w:sz w:val="20"/>
                <w:szCs w:val="20"/>
                <w:lang w:val="en-US" w:eastAsia="zh-CN"/>
              </w:rPr>
            </w:pPr>
            <w:r>
              <w:rPr>
                <w:rFonts w:hint="eastAsia"/>
                <w:sz w:val="20"/>
                <w:szCs w:val="20"/>
                <w:lang w:val="en-US" w:eastAsia="zh-CN"/>
              </w:rPr>
              <w:t>科研</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rPr>
              <w:t>1</w:t>
            </w:r>
          </w:p>
        </w:tc>
        <w:tc>
          <w:tcPr>
            <w:tcW w:w="1517" w:type="dxa"/>
            <w:vMerge w:val="restart"/>
            <w:tcBorders>
              <w:top w:val="nil"/>
              <w:left w:val="nil"/>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承担医院日常科研等工作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生物化学与分子生物学专业；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tc>
        <w:tc>
          <w:tcPr>
            <w:tcW w:w="568" w:type="dxa"/>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tcBorders>
              <w:left w:val="nil"/>
              <w:bottom w:val="single" w:color="000000" w:sz="6" w:space="0"/>
              <w:right w:val="single" w:color="000000" w:sz="6" w:space="0"/>
            </w:tcBorders>
            <w:vAlign w:val="center"/>
          </w:tcPr>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已取得学历学位的历届生，年龄35周岁以下，有</w:t>
            </w:r>
            <w:r>
              <w:rPr>
                <w:rFonts w:ascii="宋体" w:hAnsi="宋体" w:eastAsia="宋体" w:cs="宋体"/>
                <w:kern w:val="0"/>
                <w:sz w:val="20"/>
                <w:szCs w:val="20"/>
              </w:rPr>
              <w:t>2年及以上</w:t>
            </w:r>
            <w:r>
              <w:rPr>
                <w:rFonts w:hint="eastAsia" w:ascii="宋体" w:hAnsi="宋体" w:eastAsia="宋体" w:cs="宋体"/>
                <w:kern w:val="0"/>
                <w:sz w:val="20"/>
                <w:szCs w:val="20"/>
              </w:rPr>
              <w:t>医院专职科研岗位工作经历。</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vMerge w:val="continue"/>
            <w:tcBorders>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eastAsia="宋体"/>
                <w:sz w:val="20"/>
                <w:szCs w:val="20"/>
                <w:lang w:val="en-US" w:eastAsia="zh-CN"/>
              </w:rPr>
            </w:pP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eastAsia="宋体"/>
                <w:sz w:val="20"/>
                <w:szCs w:val="20"/>
                <w:lang w:val="en-US" w:eastAsia="zh-CN"/>
              </w:rPr>
            </w:pPr>
            <w:r>
              <w:rPr>
                <w:rFonts w:hint="eastAsia"/>
                <w:sz w:val="20"/>
                <w:szCs w:val="20"/>
                <w:lang w:val="en-US" w:eastAsia="zh-CN"/>
              </w:rPr>
              <w:t>5</w:t>
            </w:r>
          </w:p>
        </w:tc>
        <w:tc>
          <w:tcPr>
            <w:tcW w:w="1517" w:type="dxa"/>
            <w:vMerge w:val="continue"/>
            <w:tcBorders>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药物分析，药物制剂，中药学，中药药理，分子生物学等专业</w:t>
            </w:r>
            <w:r>
              <w:rPr>
                <w:rFonts w:hint="eastAsia" w:cs="宋体"/>
                <w:kern w:val="0"/>
                <w:sz w:val="20"/>
                <w:szCs w:val="20"/>
                <w:lang w:val="en-US" w:eastAsia="zh-CN" w:bidi="ar-SA"/>
              </w:rPr>
              <w:t>；</w:t>
            </w:r>
          </w:p>
          <w:p>
            <w:pPr>
              <w:pStyle w:val="4"/>
              <w:spacing w:before="0" w:beforeAutospacing="0" w:after="0" w:afterAutospacing="0" w:line="240" w:lineRule="exact"/>
              <w:rPr>
                <w:rFonts w:hint="eastAsia"/>
                <w:sz w:val="20"/>
                <w:szCs w:val="20"/>
              </w:rPr>
            </w:pPr>
            <w:r>
              <w:rPr>
                <w:rFonts w:hint="eastAsia" w:ascii="宋体" w:hAnsi="宋体" w:eastAsia="宋体" w:cs="宋体"/>
                <w:kern w:val="0"/>
                <w:sz w:val="20"/>
                <w:szCs w:val="20"/>
                <w:lang w:val="en-US" w:eastAsia="zh-CN" w:bidi="ar-SA"/>
              </w:rPr>
              <w:t>博士研究生、博士及以上学历（学位）</w:t>
            </w:r>
          </w:p>
        </w:tc>
        <w:tc>
          <w:tcPr>
            <w:tcW w:w="568" w:type="dxa"/>
            <w:tcBorders>
              <w:left w:val="nil"/>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c>
          <w:tcPr>
            <w:tcW w:w="1456" w:type="dxa"/>
            <w:tcBorders>
              <w:left w:val="nil"/>
              <w:bottom w:val="single" w:color="000000" w:sz="6" w:space="0"/>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1、2022年普通高校应届毕业生；</w:t>
            </w:r>
          </w:p>
          <w:p>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2、已取得学历学位的历届生，年龄35周岁以下（其中对博士研究生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bottom w:val="single" w:color="auto" w:sz="4" w:space="0"/>
              <w:right w:val="single" w:color="000000" w:sz="6" w:space="0"/>
            </w:tcBorders>
            <w:vAlign w:val="center"/>
          </w:tcPr>
          <w:p>
            <w:pPr>
              <w:widowControl/>
              <w:spacing w:line="240" w:lineRule="exact"/>
              <w:jc w:val="center"/>
              <w:rPr>
                <w:rFonts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财务</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承担医院财务管理工作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lang w:eastAsia="zh-CN"/>
              </w:rPr>
            </w:pPr>
            <w:r>
              <w:rPr>
                <w:rFonts w:hint="eastAsia"/>
                <w:sz w:val="20"/>
                <w:szCs w:val="20"/>
              </w:rPr>
              <w:t>会计学、财务管理专业</w:t>
            </w:r>
            <w:r>
              <w:rPr>
                <w:rFonts w:hint="eastAsia"/>
                <w:sz w:val="20"/>
                <w:szCs w:val="20"/>
                <w:lang w:eastAsia="zh-CN"/>
              </w:rPr>
              <w:t>；</w:t>
            </w:r>
          </w:p>
          <w:p>
            <w:pPr>
              <w:pStyle w:val="4"/>
              <w:spacing w:before="0" w:beforeAutospacing="0" w:after="0" w:afterAutospacing="0" w:line="240" w:lineRule="exact"/>
              <w:rPr>
                <w:rFonts w:hint="eastAsia"/>
                <w:sz w:val="20"/>
                <w:szCs w:val="20"/>
                <w:lang w:eastAsia="zh-CN"/>
              </w:rPr>
            </w:pPr>
            <w:r>
              <w:rPr>
                <w:rFonts w:hint="eastAsia"/>
                <w:sz w:val="20"/>
                <w:szCs w:val="20"/>
                <w:lang w:eastAsia="zh-CN"/>
              </w:rPr>
              <w:t>本科及以上学历、学士及以上学位</w:t>
            </w:r>
          </w:p>
        </w:tc>
        <w:tc>
          <w:tcPr>
            <w:tcW w:w="568" w:type="dxa"/>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tcBorders>
              <w:top w:val="nil"/>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已取得学历学位的历届生，</w:t>
            </w:r>
            <w:r>
              <w:rPr>
                <w:rFonts w:hint="eastAsia" w:ascii="宋体" w:hAnsi="宋体" w:eastAsia="宋体" w:cs="宋体"/>
                <w:kern w:val="0"/>
                <w:sz w:val="20"/>
                <w:szCs w:val="20"/>
                <w:lang w:eastAsia="zh-CN"/>
              </w:rPr>
              <w:t>具有</w:t>
            </w:r>
            <w:r>
              <w:rPr>
                <w:rFonts w:hint="eastAsia" w:ascii="宋体" w:hAnsi="宋体" w:eastAsia="宋体" w:cs="宋体"/>
                <w:kern w:val="0"/>
                <w:sz w:val="20"/>
                <w:szCs w:val="20"/>
              </w:rPr>
              <w:t>副高及以上专业技术任职资格，年龄</w:t>
            </w:r>
            <w:r>
              <w:rPr>
                <w:rFonts w:hint="eastAsia" w:ascii="宋体" w:hAnsi="宋体" w:eastAsia="宋体" w:cs="宋体"/>
                <w:kern w:val="0"/>
                <w:sz w:val="20"/>
                <w:szCs w:val="20"/>
                <w:lang w:val="en-US" w:eastAsia="zh-CN"/>
              </w:rPr>
              <w:t>40</w:t>
            </w:r>
            <w:r>
              <w:rPr>
                <w:rFonts w:ascii="宋体" w:hAnsi="宋体" w:eastAsia="宋体" w:cs="宋体"/>
                <w:kern w:val="0"/>
                <w:sz w:val="20"/>
                <w:szCs w:val="20"/>
              </w:rPr>
              <w:t>周岁及以下</w:t>
            </w:r>
            <w:r>
              <w:rPr>
                <w:rFonts w:hint="eastAsia" w:ascii="宋体" w:hAnsi="宋体" w:eastAsia="宋体" w:cs="宋体"/>
                <w:kern w:val="0"/>
                <w:sz w:val="20"/>
                <w:szCs w:val="20"/>
              </w:rPr>
              <w:t>；有</w:t>
            </w:r>
            <w:r>
              <w:rPr>
                <w:rFonts w:ascii="宋体" w:hAnsi="宋体" w:eastAsia="宋体" w:cs="宋体"/>
                <w:kern w:val="0"/>
                <w:sz w:val="20"/>
                <w:szCs w:val="20"/>
              </w:rPr>
              <w:t>10年</w:t>
            </w:r>
            <w:r>
              <w:rPr>
                <w:rFonts w:hint="eastAsia" w:ascii="宋体" w:hAnsi="宋体" w:eastAsia="宋体" w:cs="宋体"/>
                <w:kern w:val="0"/>
                <w:sz w:val="20"/>
                <w:szCs w:val="20"/>
              </w:rPr>
              <w:t>及</w:t>
            </w:r>
            <w:r>
              <w:rPr>
                <w:rFonts w:ascii="宋体" w:hAnsi="宋体" w:eastAsia="宋体" w:cs="宋体"/>
                <w:kern w:val="0"/>
                <w:sz w:val="20"/>
                <w:szCs w:val="20"/>
              </w:rPr>
              <w:t>以上</w:t>
            </w:r>
            <w:r>
              <w:rPr>
                <w:rFonts w:hint="eastAsia" w:ascii="宋体" w:hAnsi="宋体" w:eastAsia="宋体" w:cs="宋体"/>
                <w:kern w:val="0"/>
                <w:sz w:val="20"/>
                <w:szCs w:val="20"/>
              </w:rPr>
              <w:t>财务管理工作经历。</w:t>
            </w:r>
          </w:p>
        </w:tc>
      </w:tr>
      <w:tr>
        <w:tblPrEx>
          <w:tblLayout w:type="fixed"/>
          <w:tblCellMar>
            <w:top w:w="0" w:type="dxa"/>
            <w:left w:w="0" w:type="dxa"/>
            <w:bottom w:w="0" w:type="dxa"/>
            <w:right w:w="0" w:type="dxa"/>
          </w:tblCellMar>
        </w:tblPrEx>
        <w:trPr>
          <w:trHeight w:val="2457" w:hRule="atLeast"/>
          <w:tblCellSpacing w:w="0" w:type="dxa"/>
          <w:jc w:val="center"/>
        </w:trPr>
        <w:tc>
          <w:tcPr>
            <w:tcW w:w="2216" w:type="dxa"/>
            <w:vMerge w:val="restart"/>
            <w:tcBorders>
              <w:top w:val="nil"/>
              <w:left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宁波市康宁医院</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（2名）</w:t>
            </w: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临床</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承担各科日常诊断、治疗、教学科研等工作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精神卫生专业；</w:t>
            </w:r>
            <w:r>
              <w:rPr>
                <w:rFonts w:hint="eastAsia"/>
                <w:sz w:val="20"/>
                <w:szCs w:val="20"/>
              </w:rPr>
              <w:br w:type="textWrapping"/>
            </w:r>
            <w:r>
              <w:rPr>
                <w:rFonts w:hint="eastAsia"/>
                <w:sz w:val="20"/>
                <w:szCs w:val="20"/>
              </w:rPr>
              <w:t>硕士研究生、硕士研究生学历（学位）</w:t>
            </w:r>
          </w:p>
        </w:tc>
        <w:tc>
          <w:tcPr>
            <w:tcW w:w="568" w:type="dxa"/>
            <w:vMerge w:val="restart"/>
            <w:tcBorders>
              <w:left w:val="nil"/>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top w:val="nil"/>
              <w:left w:val="nil"/>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1、2022年普通高校应届毕业生；</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2、已取得学历学位的历届生，年龄35周岁以下（其中对博士研究生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周岁以下）。有副高及以上专业技术任职资格的学历（学位）可放宽至本科（学士）。临床岗位要求已取得执业医师资格。</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bottom w:val="single" w:color="auto" w:sz="4" w:space="0"/>
              <w:right w:val="single" w:color="000000" w:sz="6" w:space="0"/>
            </w:tcBorders>
            <w:vAlign w:val="center"/>
          </w:tcPr>
          <w:p>
            <w:pPr>
              <w:widowControl/>
              <w:spacing w:line="240" w:lineRule="exact"/>
              <w:jc w:val="center"/>
              <w:rPr>
                <w:rFonts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科研</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承担精神医学研究工作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精神卫生专业</w:t>
            </w:r>
            <w:r>
              <w:rPr>
                <w:rFonts w:hint="eastAsia"/>
                <w:sz w:val="20"/>
                <w:szCs w:val="20"/>
                <w:lang w:eastAsia="zh-CN"/>
              </w:rPr>
              <w:t>（学术型）</w:t>
            </w:r>
            <w:r>
              <w:rPr>
                <w:rFonts w:hint="eastAsia"/>
                <w:sz w:val="20"/>
                <w:szCs w:val="20"/>
              </w:rPr>
              <w:t>；</w:t>
            </w:r>
            <w:r>
              <w:rPr>
                <w:rFonts w:hint="eastAsia"/>
                <w:sz w:val="20"/>
                <w:szCs w:val="20"/>
              </w:rPr>
              <w:br w:type="textWrapping"/>
            </w:r>
            <w:r>
              <w:rPr>
                <w:rFonts w:hint="eastAsia"/>
                <w:sz w:val="20"/>
                <w:szCs w:val="20"/>
              </w:rPr>
              <w:t>硕士研究生、硕士及以上学历（学位）</w:t>
            </w:r>
          </w:p>
        </w:tc>
        <w:tc>
          <w:tcPr>
            <w:tcW w:w="568"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815" w:hRule="atLeast"/>
          <w:tblCellSpacing w:w="0" w:type="dxa"/>
          <w:jc w:val="center"/>
        </w:trPr>
        <w:tc>
          <w:tcPr>
            <w:tcW w:w="2216" w:type="dxa"/>
            <w:vMerge w:val="restart"/>
            <w:tcBorders>
              <w:top w:val="nil"/>
              <w:left w:val="single" w:color="000000" w:sz="6" w:space="0"/>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宁波市华慈医院</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（2名）</w:t>
            </w: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中医针灸</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承担针灸科临床工作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针灸学、针灸推拿学专业；</w:t>
            </w:r>
          </w:p>
          <w:p>
            <w:pPr>
              <w:pStyle w:val="4"/>
              <w:spacing w:before="0" w:beforeAutospacing="0" w:after="0" w:afterAutospacing="0" w:line="240" w:lineRule="exact"/>
              <w:rPr>
                <w:sz w:val="20"/>
                <w:szCs w:val="20"/>
              </w:rPr>
            </w:pPr>
            <w:r>
              <w:rPr>
                <w:rFonts w:hint="eastAsia"/>
                <w:sz w:val="20"/>
                <w:szCs w:val="20"/>
              </w:rPr>
              <w:t>硕士研究生、硕士及以上学历（学位）</w:t>
            </w:r>
          </w:p>
        </w:tc>
        <w:tc>
          <w:tcPr>
            <w:tcW w:w="568" w:type="dxa"/>
            <w:vMerge w:val="restart"/>
            <w:tcBorders>
              <w:left w:val="nil"/>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top w:val="nil"/>
              <w:left w:val="nil"/>
              <w:right w:val="single" w:color="000000" w:sz="6" w:space="0"/>
            </w:tcBorders>
            <w:vAlign w:val="center"/>
          </w:tcPr>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已取得学历学位的历届生，年龄35周岁以下，已取得执业医师资格，</w:t>
            </w:r>
            <w:r>
              <w:rPr>
                <w:rFonts w:ascii="宋体" w:hAnsi="宋体" w:eastAsia="宋体" w:cs="宋体"/>
                <w:kern w:val="0"/>
                <w:sz w:val="20"/>
                <w:szCs w:val="20"/>
              </w:rPr>
              <w:t>有住院医师规范化培训合格证</w:t>
            </w:r>
            <w:r>
              <w:rPr>
                <w:rFonts w:hint="eastAsia" w:ascii="宋体" w:hAnsi="宋体" w:eastAsia="宋体" w:cs="宋体"/>
                <w:kern w:val="0"/>
                <w:sz w:val="20"/>
                <w:szCs w:val="20"/>
              </w:rPr>
              <w:t>。</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中医</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sz w:val="20"/>
                <w:szCs w:val="20"/>
              </w:rPr>
            </w:pPr>
            <w:r>
              <w:rPr>
                <w:rFonts w:hint="eastAsia"/>
                <w:sz w:val="20"/>
                <w:szCs w:val="20"/>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承担中医科临床工作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sz w:val="20"/>
                <w:szCs w:val="20"/>
              </w:rPr>
            </w:pPr>
            <w:r>
              <w:rPr>
                <w:rFonts w:hint="eastAsia"/>
                <w:sz w:val="20"/>
                <w:szCs w:val="20"/>
              </w:rPr>
              <w:t>中医学专业；</w:t>
            </w:r>
          </w:p>
          <w:p>
            <w:pPr>
              <w:pStyle w:val="4"/>
              <w:spacing w:before="0" w:beforeAutospacing="0" w:after="0" w:afterAutospacing="0" w:line="240" w:lineRule="exact"/>
              <w:rPr>
                <w:sz w:val="20"/>
                <w:szCs w:val="20"/>
              </w:rPr>
            </w:pPr>
            <w:r>
              <w:rPr>
                <w:rFonts w:hint="eastAsia"/>
                <w:sz w:val="20"/>
                <w:szCs w:val="20"/>
              </w:rPr>
              <w:t>硕士研究生、硕士及以上学历（学位）</w:t>
            </w:r>
          </w:p>
        </w:tc>
        <w:tc>
          <w:tcPr>
            <w:tcW w:w="568"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restart"/>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宁波市卫生信息中心</w:t>
            </w:r>
          </w:p>
          <w:p>
            <w:pPr>
              <w:widowControl/>
              <w:spacing w:line="240" w:lineRule="exac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3名</w:t>
            </w:r>
            <w:r>
              <w:rPr>
                <w:rFonts w:hint="eastAsia" w:ascii="宋体" w:hAnsi="宋体" w:eastAsia="宋体" w:cs="宋体"/>
                <w:kern w:val="0"/>
                <w:sz w:val="20"/>
                <w:szCs w:val="20"/>
                <w:lang w:eastAsia="zh-CN"/>
              </w:rPr>
              <w:t>）</w:t>
            </w: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lang w:val="en-US" w:eastAsia="zh-CN"/>
              </w:rPr>
              <w:t>信息化管理</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lang w:val="en-US" w:eastAsia="zh-CN"/>
              </w:rPr>
            </w:pPr>
            <w:r>
              <w:rPr>
                <w:rFonts w:hint="eastAsia"/>
                <w:sz w:val="20"/>
                <w:szCs w:val="20"/>
                <w:lang w:val="en-US" w:eastAsia="zh-CN"/>
              </w:rPr>
              <w:t>2</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lang w:val="en-US" w:eastAsia="zh-CN"/>
              </w:rPr>
              <w:t>承担卫生健康信息</w:t>
            </w:r>
            <w:r>
              <w:rPr>
                <w:rFonts w:hint="default"/>
                <w:sz w:val="20"/>
                <w:szCs w:val="20"/>
                <w:lang w:eastAsia="zh-CN"/>
              </w:rPr>
              <w:t>化发展规划、</w:t>
            </w:r>
            <w:r>
              <w:rPr>
                <w:rFonts w:hint="eastAsia"/>
                <w:sz w:val="20"/>
                <w:szCs w:val="20"/>
                <w:lang w:val="en-US" w:eastAsia="zh-CN"/>
              </w:rPr>
              <w:t>方案编制、</w:t>
            </w:r>
            <w:r>
              <w:rPr>
                <w:rFonts w:hint="default"/>
                <w:sz w:val="20"/>
                <w:szCs w:val="20"/>
                <w:lang w:eastAsia="zh-CN"/>
              </w:rPr>
              <w:t>建设管理</w:t>
            </w:r>
            <w:r>
              <w:rPr>
                <w:rFonts w:hint="eastAsia"/>
                <w:sz w:val="20"/>
                <w:szCs w:val="20"/>
                <w:lang w:val="en-US" w:eastAsia="zh-CN"/>
              </w:rPr>
              <w:t>、运行维护等工作。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lang w:val="en-US" w:eastAsia="zh-CN"/>
              </w:rPr>
            </w:pPr>
            <w:r>
              <w:rPr>
                <w:rFonts w:hint="eastAsia"/>
                <w:sz w:val="20"/>
                <w:szCs w:val="20"/>
              </w:rPr>
              <w:t>计算机科学与技术、</w:t>
            </w:r>
            <w:r>
              <w:rPr>
                <w:rFonts w:hint="eastAsia"/>
                <w:sz w:val="20"/>
                <w:szCs w:val="20"/>
                <w:lang w:val="en-US" w:eastAsia="zh-CN"/>
              </w:rPr>
              <w:t>软件工程、电子与计算机工程、数据科学与大数据技术、</w:t>
            </w:r>
            <w:r>
              <w:rPr>
                <w:rFonts w:hint="eastAsia"/>
                <w:sz w:val="20"/>
                <w:szCs w:val="20"/>
              </w:rPr>
              <w:t>网络空间安全</w:t>
            </w:r>
            <w:r>
              <w:rPr>
                <w:rFonts w:hint="eastAsia"/>
                <w:sz w:val="20"/>
                <w:szCs w:val="20"/>
                <w:lang w:val="en-US" w:eastAsia="zh-CN"/>
              </w:rPr>
              <w:t>等专业；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tc>
        <w:tc>
          <w:tcPr>
            <w:tcW w:w="568" w:type="dxa"/>
            <w:vMerge w:val="restart"/>
            <w:tcBorders>
              <w:left w:val="nil"/>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left w:val="nil"/>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2022年普通高校应届毕业生</w:t>
            </w:r>
            <w:r>
              <w:rPr>
                <w:rFonts w:hint="eastAsia" w:ascii="宋体" w:hAnsi="宋体" w:eastAsia="宋体" w:cs="宋体"/>
                <w:kern w:val="0"/>
                <w:sz w:val="20"/>
                <w:szCs w:val="20"/>
                <w:lang w:eastAsia="zh-CN"/>
              </w:rPr>
              <w:t>。</w:t>
            </w:r>
          </w:p>
          <w:p>
            <w:pPr>
              <w:widowControl/>
              <w:spacing w:line="240" w:lineRule="exact"/>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r>
              <w:rPr>
                <w:rFonts w:hint="eastAsia" w:ascii="宋体" w:hAnsi="宋体" w:eastAsia="宋体" w:cs="宋体"/>
                <w:kern w:val="0"/>
                <w:sz w:val="20"/>
                <w:szCs w:val="20"/>
              </w:rPr>
              <w:t>已取得学历学位的历届生，年龄35周岁以下</w:t>
            </w:r>
            <w:r>
              <w:rPr>
                <w:rFonts w:hint="eastAsia" w:ascii="宋体" w:hAnsi="宋体" w:eastAsia="宋体" w:cs="宋体"/>
                <w:kern w:val="0"/>
                <w:sz w:val="20"/>
                <w:szCs w:val="20"/>
                <w:lang w:eastAsia="zh-CN"/>
              </w:rPr>
              <w:t>。</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szCs w:val="20"/>
                <w:lang w:val="en-US" w:eastAsia="zh-CN"/>
              </w:rPr>
              <w:t>数据综合分析</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lang w:val="en-US" w:eastAsia="zh-CN"/>
              </w:rPr>
            </w:pPr>
            <w:r>
              <w:rPr>
                <w:rFonts w:hint="eastAsia"/>
                <w:sz w:val="20"/>
                <w:szCs w:val="20"/>
                <w:lang w:val="en-US" w:eastAsia="zh-CN"/>
              </w:rPr>
              <w:t>1</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lang w:val="en-US" w:eastAsia="zh-CN"/>
              </w:rPr>
              <w:t>承担全市卫生资源、医疗服务、居民健康、综合管理等数据分析和相关课题设计、调查、研究等工作。</w:t>
            </w:r>
          </w:p>
        </w:tc>
        <w:tc>
          <w:tcPr>
            <w:tcW w:w="2381"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sz w:val="20"/>
                <w:szCs w:val="20"/>
              </w:rPr>
            </w:pPr>
            <w:r>
              <w:rPr>
                <w:rFonts w:hint="eastAsia"/>
                <w:sz w:val="20"/>
                <w:szCs w:val="20"/>
              </w:rPr>
              <w:t>社会医学与卫生事业管理、流行病与卫生统计等专业；</w:t>
            </w:r>
          </w:p>
          <w:p>
            <w:pPr>
              <w:pStyle w:val="4"/>
              <w:spacing w:before="0" w:beforeAutospacing="0" w:after="0" w:afterAutospacing="0" w:line="240" w:lineRule="exact"/>
              <w:rPr>
                <w:rFonts w:hint="eastAsia"/>
                <w:sz w:val="20"/>
                <w:szCs w:val="20"/>
              </w:rPr>
            </w:pPr>
            <w:r>
              <w:rPr>
                <w:rFonts w:hint="eastAsia"/>
                <w:sz w:val="20"/>
                <w:szCs w:val="20"/>
              </w:rPr>
              <w:t>硕士研究生、硕士及以上学历（学位）</w:t>
            </w:r>
          </w:p>
        </w:tc>
        <w:tc>
          <w:tcPr>
            <w:tcW w:w="568"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lang w:val="en-US"/>
              </w:rPr>
            </w:pPr>
          </w:p>
        </w:tc>
      </w:tr>
      <w:tr>
        <w:tblPrEx>
          <w:tblLayout w:type="fixed"/>
          <w:tblCellMar>
            <w:top w:w="0" w:type="dxa"/>
            <w:left w:w="0" w:type="dxa"/>
            <w:bottom w:w="0" w:type="dxa"/>
            <w:right w:w="0" w:type="dxa"/>
          </w:tblCellMar>
        </w:tblPrEx>
        <w:trPr>
          <w:trHeight w:val="2480" w:hRule="atLeast"/>
          <w:tblCellSpacing w:w="0" w:type="dxa"/>
          <w:jc w:val="center"/>
        </w:trPr>
        <w:tc>
          <w:tcPr>
            <w:tcW w:w="2216" w:type="dxa"/>
            <w:vMerge w:val="restart"/>
            <w:tcBorders>
              <w:left w:val="single" w:color="000000" w:sz="6"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宁波市临床病理诊断</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中心</w:t>
            </w:r>
          </w:p>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w:t>
            </w:r>
            <w:r>
              <w:rPr>
                <w:rFonts w:hint="eastAsia" w:ascii="宋体" w:hAnsi="宋体" w:eastAsia="宋体" w:cs="宋体"/>
                <w:kern w:val="0"/>
                <w:sz w:val="20"/>
                <w:szCs w:val="20"/>
                <w:lang w:val="en-US" w:eastAsia="zh-CN"/>
              </w:rPr>
              <w:t>8</w:t>
            </w:r>
            <w:r>
              <w:rPr>
                <w:rFonts w:hint="eastAsia" w:ascii="宋体" w:hAnsi="宋体" w:eastAsia="宋体" w:cs="宋体"/>
                <w:kern w:val="0"/>
                <w:sz w:val="20"/>
                <w:szCs w:val="20"/>
              </w:rPr>
              <w:t>名）</w:t>
            </w:r>
          </w:p>
        </w:tc>
        <w:tc>
          <w:tcPr>
            <w:tcW w:w="523"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sz w:val="20"/>
                <w:szCs w:val="20"/>
              </w:rPr>
            </w:pPr>
            <w:r>
              <w:rPr>
                <w:rFonts w:hint="eastAsia"/>
                <w:sz w:val="20"/>
              </w:rPr>
              <w:t>病理诊断</w:t>
            </w:r>
          </w:p>
        </w:tc>
        <w:tc>
          <w:tcPr>
            <w:tcW w:w="474"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jc w:val="center"/>
              <w:rPr>
                <w:rFonts w:hint="eastAsia" w:eastAsia="宋体"/>
                <w:sz w:val="20"/>
                <w:szCs w:val="20"/>
                <w:lang w:eastAsia="zh-CN"/>
              </w:rPr>
            </w:pPr>
            <w:r>
              <w:rPr>
                <w:rFonts w:hint="eastAsia"/>
                <w:sz w:val="20"/>
                <w:szCs w:val="20"/>
                <w:lang w:val="en-US" w:eastAsia="zh-CN"/>
              </w:rPr>
              <w:t>7</w:t>
            </w:r>
          </w:p>
        </w:tc>
        <w:tc>
          <w:tcPr>
            <w:tcW w:w="1517" w:type="dxa"/>
            <w:tcBorders>
              <w:top w:val="nil"/>
              <w:left w:val="nil"/>
              <w:bottom w:val="single" w:color="auto" w:sz="4" w:space="0"/>
              <w:right w:val="single" w:color="000000" w:sz="6" w:space="0"/>
            </w:tcBorders>
            <w:vAlign w:val="center"/>
          </w:tcPr>
          <w:p>
            <w:pPr>
              <w:pStyle w:val="4"/>
              <w:spacing w:before="0" w:beforeAutospacing="0" w:after="0" w:afterAutospacing="0" w:line="240" w:lineRule="exact"/>
              <w:rPr>
                <w:rFonts w:hint="eastAsia" w:eastAsia="宋体"/>
                <w:sz w:val="20"/>
                <w:szCs w:val="20"/>
                <w:lang w:val="en-US" w:eastAsia="zh-CN"/>
              </w:rPr>
            </w:pPr>
            <w:r>
              <w:rPr>
                <w:rFonts w:hint="eastAsia"/>
                <w:sz w:val="20"/>
                <w:szCs w:val="20"/>
              </w:rPr>
              <w:t>承担中心临床病理诊断、教学、科研等</w:t>
            </w:r>
            <w:r>
              <w:rPr>
                <w:sz w:val="20"/>
                <w:szCs w:val="20"/>
              </w:rPr>
              <w:t>工作</w:t>
            </w:r>
            <w:r>
              <w:rPr>
                <w:rFonts w:hint="eastAsia"/>
                <w:sz w:val="20"/>
                <w:szCs w:val="20"/>
                <w:lang w:eastAsia="zh-CN"/>
              </w:rPr>
              <w:t>。</w:t>
            </w:r>
          </w:p>
        </w:tc>
        <w:tc>
          <w:tcPr>
            <w:tcW w:w="2381" w:type="dxa"/>
            <w:tcBorders>
              <w:top w:val="nil"/>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rPr>
            </w:pPr>
            <w:r>
              <w:rPr>
                <w:rFonts w:hint="eastAsia" w:ascii="宋体" w:hAnsi="宋体" w:eastAsia="宋体" w:cs="宋体"/>
                <w:kern w:val="0"/>
                <w:sz w:val="20"/>
              </w:rPr>
              <w:t>临床医学、病理学、病理学与病理生理学专业；</w:t>
            </w:r>
          </w:p>
          <w:p>
            <w:pPr>
              <w:pStyle w:val="4"/>
              <w:spacing w:before="0" w:beforeAutospacing="0" w:after="0" w:afterAutospacing="0" w:line="240" w:lineRule="exact"/>
              <w:rPr>
                <w:rFonts w:hint="eastAsia"/>
                <w:sz w:val="20"/>
                <w:szCs w:val="20"/>
              </w:rPr>
            </w:pPr>
            <w:r>
              <w:rPr>
                <w:rFonts w:hint="eastAsia"/>
                <w:sz w:val="20"/>
              </w:rPr>
              <w:t>硕士研究生、硕士及以上学历（学位）</w:t>
            </w:r>
          </w:p>
        </w:tc>
        <w:tc>
          <w:tcPr>
            <w:tcW w:w="568" w:type="dxa"/>
            <w:vMerge w:val="restart"/>
            <w:tcBorders>
              <w:left w:val="nil"/>
              <w:right w:val="single" w:color="000000" w:sz="6" w:space="0"/>
            </w:tcBorders>
            <w:vAlign w:val="center"/>
          </w:tcPr>
          <w:p>
            <w:pPr>
              <w:widowControl/>
              <w:spacing w:line="240" w:lineRule="exact"/>
              <w:jc w:val="center"/>
              <w:rPr>
                <w:rFonts w:ascii="宋体" w:hAnsi="宋体" w:eastAsia="宋体" w:cs="宋体"/>
                <w:kern w:val="0"/>
                <w:sz w:val="20"/>
                <w:szCs w:val="20"/>
              </w:rPr>
            </w:pPr>
            <w:r>
              <w:rPr>
                <w:rFonts w:hint="eastAsia" w:ascii="宋体" w:hAnsi="宋体" w:eastAsia="宋体" w:cs="宋体"/>
                <w:kern w:val="0"/>
                <w:sz w:val="20"/>
                <w:szCs w:val="20"/>
              </w:rPr>
              <w:t>全国范围</w:t>
            </w:r>
          </w:p>
        </w:tc>
        <w:tc>
          <w:tcPr>
            <w:tcW w:w="1456" w:type="dxa"/>
            <w:vMerge w:val="restart"/>
            <w:tcBorders>
              <w:left w:val="nil"/>
              <w:right w:val="single" w:color="000000" w:sz="6" w:space="0"/>
            </w:tcBorders>
            <w:vAlign w:val="center"/>
          </w:tcPr>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符合下列条件之一：</w:t>
            </w:r>
          </w:p>
          <w:p>
            <w:pPr>
              <w:widowControl/>
              <w:spacing w:line="240" w:lineRule="exact"/>
              <w:rPr>
                <w:rFonts w:ascii="宋体" w:hAnsi="宋体" w:eastAsia="宋体" w:cs="宋体"/>
                <w:kern w:val="0"/>
                <w:sz w:val="20"/>
                <w:szCs w:val="20"/>
              </w:rPr>
            </w:pPr>
            <w:r>
              <w:rPr>
                <w:rFonts w:hint="eastAsia" w:ascii="宋体" w:hAnsi="宋体" w:eastAsia="宋体" w:cs="宋体"/>
                <w:kern w:val="0"/>
                <w:sz w:val="20"/>
                <w:szCs w:val="20"/>
              </w:rPr>
              <w:t>1、2022年普通高校应届毕业生；</w:t>
            </w:r>
          </w:p>
          <w:p>
            <w:pPr>
              <w:widowControl/>
              <w:spacing w:line="240" w:lineRule="exact"/>
              <w:jc w:val="left"/>
              <w:rPr>
                <w:rFonts w:ascii="宋体" w:hAnsi="宋体" w:eastAsia="宋体" w:cs="宋体"/>
                <w:kern w:val="0"/>
                <w:sz w:val="20"/>
                <w:szCs w:val="20"/>
              </w:rPr>
            </w:pPr>
            <w:r>
              <w:rPr>
                <w:rFonts w:hint="eastAsia" w:ascii="宋体" w:hAnsi="宋体" w:eastAsia="宋体" w:cs="宋体"/>
                <w:kern w:val="0"/>
                <w:sz w:val="20"/>
                <w:szCs w:val="20"/>
              </w:rPr>
              <w:t>2、已取得学历学位的历届生，年龄35周岁以下（其中对博士研究生</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拥有</w:t>
            </w:r>
            <w:r>
              <w:rPr>
                <w:rFonts w:hint="eastAsia" w:ascii="宋体" w:hAnsi="宋体" w:eastAsia="宋体" w:cs="宋体"/>
                <w:kern w:val="0"/>
                <w:sz w:val="20"/>
                <w:szCs w:val="20"/>
                <w:lang w:eastAsia="zh-CN"/>
              </w:rPr>
              <w:t>正</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50</w:t>
            </w:r>
            <w:r>
              <w:rPr>
                <w:rFonts w:hint="eastAsia" w:ascii="宋体" w:hAnsi="宋体" w:eastAsia="宋体" w:cs="宋体"/>
                <w:kern w:val="0"/>
                <w:sz w:val="20"/>
                <w:szCs w:val="20"/>
              </w:rPr>
              <w:t>周岁以下</w:t>
            </w:r>
            <w:r>
              <w:rPr>
                <w:rFonts w:hint="eastAsia" w:ascii="宋体" w:hAnsi="宋体" w:eastAsia="宋体" w:cs="宋体"/>
                <w:kern w:val="0"/>
                <w:sz w:val="20"/>
                <w:szCs w:val="20"/>
                <w:lang w:eastAsia="zh-CN"/>
              </w:rPr>
              <w:t>，副</w:t>
            </w:r>
            <w:r>
              <w:rPr>
                <w:rFonts w:hint="eastAsia" w:ascii="宋体" w:hAnsi="宋体" w:eastAsia="宋体" w:cs="宋体"/>
                <w:kern w:val="0"/>
                <w:sz w:val="20"/>
                <w:szCs w:val="20"/>
              </w:rPr>
              <w:t>高专业技术任职资格的年龄可放宽至</w:t>
            </w:r>
            <w:r>
              <w:rPr>
                <w:rFonts w:hint="eastAsia" w:ascii="宋体" w:hAnsi="宋体" w:eastAsia="宋体" w:cs="宋体"/>
                <w:kern w:val="0"/>
                <w:sz w:val="20"/>
                <w:szCs w:val="20"/>
                <w:lang w:val="en-US" w:eastAsia="zh-CN"/>
              </w:rPr>
              <w:t>45</w:t>
            </w:r>
            <w:r>
              <w:rPr>
                <w:rFonts w:hint="eastAsia" w:ascii="宋体" w:hAnsi="宋体" w:eastAsia="宋体" w:cs="宋体"/>
                <w:kern w:val="0"/>
                <w:sz w:val="20"/>
                <w:szCs w:val="20"/>
              </w:rPr>
              <w:t>周岁以下）。有副高及以上专业技术任职资格的学历（学位）可放宽至本科（学士）。</w:t>
            </w:r>
          </w:p>
        </w:tc>
      </w:tr>
      <w:tr>
        <w:tblPrEx>
          <w:tblLayout w:type="fixed"/>
          <w:tblCellMar>
            <w:top w:w="0" w:type="dxa"/>
            <w:left w:w="0" w:type="dxa"/>
            <w:bottom w:w="0" w:type="dxa"/>
            <w:right w:w="0" w:type="dxa"/>
          </w:tblCellMar>
        </w:tblPrEx>
        <w:trPr>
          <w:trHeight w:val="525" w:hRule="atLeast"/>
          <w:tblCellSpacing w:w="0" w:type="dxa"/>
          <w:jc w:val="center"/>
        </w:trPr>
        <w:tc>
          <w:tcPr>
            <w:tcW w:w="2216" w:type="dxa"/>
            <w:vMerge w:val="continue"/>
            <w:tcBorders>
              <w:left w:val="single" w:color="000000" w:sz="6" w:space="0"/>
              <w:bottom w:val="single" w:color="auto" w:sz="4" w:space="0"/>
              <w:right w:val="single" w:color="000000" w:sz="6" w:space="0"/>
            </w:tcBorders>
            <w:vAlign w:val="center"/>
          </w:tcPr>
          <w:p>
            <w:pPr>
              <w:widowControl/>
              <w:spacing w:line="240" w:lineRule="exact"/>
              <w:jc w:val="center"/>
              <w:rPr>
                <w:rFonts w:hint="eastAsia" w:ascii="宋体" w:hAnsi="宋体" w:eastAsia="宋体" w:cs="宋体"/>
                <w:kern w:val="0"/>
                <w:sz w:val="20"/>
                <w:szCs w:val="20"/>
              </w:rPr>
            </w:pPr>
          </w:p>
        </w:tc>
        <w:tc>
          <w:tcPr>
            <w:tcW w:w="523" w:type="dxa"/>
            <w:tcBorders>
              <w:top w:val="nil"/>
              <w:left w:val="nil"/>
              <w:bottom w:val="single" w:color="auto" w:sz="4" w:space="0"/>
              <w:right w:val="single" w:color="000000" w:sz="6" w:space="0"/>
            </w:tcBorders>
            <w:vAlign w:val="center"/>
          </w:tcPr>
          <w:p>
            <w:pPr>
              <w:spacing w:line="340" w:lineRule="exact"/>
              <w:jc w:val="center"/>
              <w:rPr>
                <w:rFonts w:hint="eastAsia"/>
                <w:sz w:val="20"/>
              </w:rPr>
            </w:pPr>
            <w:r>
              <w:rPr>
                <w:rFonts w:hint="eastAsia" w:ascii="宋体" w:hAnsi="宋体" w:cs="宋体"/>
                <w:kern w:val="0"/>
                <w:sz w:val="20"/>
                <w:szCs w:val="20"/>
                <w:lang w:val="en-US" w:eastAsia="zh-CN"/>
              </w:rPr>
              <w:t>科研</w:t>
            </w:r>
          </w:p>
        </w:tc>
        <w:tc>
          <w:tcPr>
            <w:tcW w:w="474" w:type="dxa"/>
            <w:tcBorders>
              <w:top w:val="nil"/>
              <w:left w:val="nil"/>
              <w:bottom w:val="single" w:color="auto" w:sz="4" w:space="0"/>
              <w:right w:val="single" w:color="000000" w:sz="6" w:space="0"/>
            </w:tcBorders>
            <w:vAlign w:val="center"/>
          </w:tcPr>
          <w:p>
            <w:pPr>
              <w:spacing w:line="340" w:lineRule="exact"/>
              <w:jc w:val="center"/>
              <w:rPr>
                <w:rFonts w:hint="eastAsia"/>
                <w:sz w:val="20"/>
                <w:szCs w:val="20"/>
                <w:lang w:val="en-US" w:eastAsia="zh-CN"/>
              </w:rPr>
            </w:pPr>
            <w:r>
              <w:rPr>
                <w:rFonts w:hint="eastAsia" w:ascii="宋体" w:hAnsi="宋体" w:cs="宋体"/>
                <w:color w:val="000000"/>
                <w:kern w:val="0"/>
                <w:sz w:val="20"/>
                <w:lang w:val="en-US" w:eastAsia="zh-CN" w:bidi="ar"/>
              </w:rPr>
              <w:t>1</w:t>
            </w:r>
          </w:p>
        </w:tc>
        <w:tc>
          <w:tcPr>
            <w:tcW w:w="1517" w:type="dxa"/>
            <w:tcBorders>
              <w:top w:val="nil"/>
              <w:left w:val="nil"/>
              <w:bottom w:val="single" w:color="auto"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sz w:val="20"/>
                <w:szCs w:val="20"/>
              </w:rPr>
            </w:pPr>
            <w:r>
              <w:rPr>
                <w:rFonts w:hint="eastAsia" w:ascii="宋体" w:hAnsi="宋体" w:cs="宋体"/>
                <w:kern w:val="0"/>
                <w:sz w:val="20"/>
                <w:szCs w:val="20"/>
                <w:lang w:val="en-US" w:eastAsia="zh-CN"/>
              </w:rPr>
              <w:t>承担中心科研、实验相关工作</w:t>
            </w:r>
          </w:p>
        </w:tc>
        <w:tc>
          <w:tcPr>
            <w:tcW w:w="2381" w:type="dxa"/>
            <w:tcBorders>
              <w:top w:val="nil"/>
              <w:left w:val="nil"/>
              <w:bottom w:val="single" w:color="auto"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000000"/>
                <w:kern w:val="0"/>
                <w:sz w:val="20"/>
                <w:lang w:eastAsia="zh-CN" w:bidi="ar"/>
              </w:rPr>
            </w:pPr>
            <w:r>
              <w:rPr>
                <w:rFonts w:hint="eastAsia" w:ascii="宋体" w:hAnsi="宋体" w:cs="宋体"/>
                <w:color w:val="000000"/>
                <w:kern w:val="0"/>
                <w:sz w:val="20"/>
                <w:lang w:eastAsia="zh-CN" w:bidi="ar"/>
              </w:rPr>
              <w:t>医学、生物学等相关专业；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sz w:val="20"/>
              </w:rPr>
            </w:pPr>
            <w:r>
              <w:rPr>
                <w:rFonts w:hint="eastAsia" w:ascii="宋体" w:hAnsi="宋体"/>
                <w:color w:val="000000"/>
                <w:sz w:val="20"/>
                <w:lang w:eastAsia="zh-CN"/>
              </w:rPr>
              <w:t>硕</w:t>
            </w:r>
            <w:r>
              <w:rPr>
                <w:rFonts w:hint="eastAsia" w:ascii="宋体" w:hAnsi="宋体"/>
                <w:color w:val="000000"/>
                <w:sz w:val="20"/>
              </w:rPr>
              <w:t>士研究生、硕士及以上学历（学位）</w:t>
            </w:r>
          </w:p>
        </w:tc>
        <w:tc>
          <w:tcPr>
            <w:tcW w:w="568" w:type="dxa"/>
            <w:vMerge w:val="continue"/>
            <w:tcBorders>
              <w:left w:val="nil"/>
              <w:bottom w:val="single" w:color="auto" w:sz="4" w:space="0"/>
              <w:right w:val="single" w:color="000000" w:sz="6" w:space="0"/>
            </w:tcBorders>
            <w:vAlign w:val="center"/>
          </w:tcPr>
          <w:p>
            <w:pPr>
              <w:widowControl/>
              <w:spacing w:line="240" w:lineRule="exact"/>
              <w:jc w:val="left"/>
              <w:rPr>
                <w:rFonts w:ascii="宋体" w:hAnsi="宋体" w:eastAsia="宋体" w:cs="宋体"/>
                <w:kern w:val="0"/>
                <w:sz w:val="20"/>
                <w:szCs w:val="20"/>
              </w:rPr>
            </w:pPr>
          </w:p>
        </w:tc>
        <w:tc>
          <w:tcPr>
            <w:tcW w:w="1456" w:type="dxa"/>
            <w:vMerge w:val="continue"/>
            <w:tcBorders>
              <w:left w:val="nil"/>
              <w:bottom w:val="single" w:color="auto" w:sz="4" w:space="0"/>
              <w:right w:val="single" w:color="000000" w:sz="6" w:space="0"/>
            </w:tcBorders>
            <w:vAlign w:val="center"/>
          </w:tcPr>
          <w:p>
            <w:pPr>
              <w:widowControl/>
              <w:spacing w:line="240" w:lineRule="exact"/>
              <w:jc w:val="left"/>
              <w:rPr>
                <w:rFonts w:hint="eastAsia" w:ascii="宋体" w:hAnsi="宋体" w:eastAsia="宋体" w:cs="宋体"/>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szCs w:val="24"/>
        </w:rPr>
      </w:pPr>
      <w:r>
        <w:rPr>
          <w:rFonts w:hint="eastAsia" w:ascii="宋体" w:hAnsi="宋体"/>
          <w:color w:val="auto"/>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rPr>
      </w:pPr>
      <w:r>
        <w:rPr>
          <w:rFonts w:hint="eastAsia" w:ascii="宋体" w:hAnsi="宋体"/>
          <w:color w:val="auto"/>
          <w:sz w:val="24"/>
          <w:szCs w:val="24"/>
          <w:lang w:val="en-US" w:eastAsia="zh-CN"/>
        </w:rPr>
        <w:t>1、</w:t>
      </w:r>
      <w:r>
        <w:rPr>
          <w:rFonts w:hint="eastAsia" w:ascii="宋体" w:hAnsi="宋体" w:cs="宋体"/>
          <w:color w:val="auto"/>
          <w:sz w:val="24"/>
          <w:szCs w:val="24"/>
        </w:rPr>
        <w:t>20</w:t>
      </w:r>
      <w:r>
        <w:rPr>
          <w:rFonts w:hint="eastAsia" w:ascii="宋体" w:hAnsi="宋体" w:cs="宋体"/>
          <w:color w:val="auto"/>
          <w:sz w:val="24"/>
          <w:szCs w:val="24"/>
          <w:lang w:val="en-US" w:eastAsia="zh-CN"/>
        </w:rPr>
        <w:t>22</w:t>
      </w:r>
      <w:r>
        <w:rPr>
          <w:rFonts w:hint="eastAsia" w:ascii="宋体" w:hAnsi="宋体" w:cs="宋体"/>
          <w:color w:val="auto"/>
          <w:sz w:val="24"/>
          <w:szCs w:val="24"/>
        </w:rPr>
        <w:t>年普通高等院校应届毕业生需在20</w:t>
      </w:r>
      <w:r>
        <w:rPr>
          <w:rFonts w:hint="eastAsia" w:ascii="宋体" w:hAnsi="宋体" w:cs="宋体"/>
          <w:color w:val="auto"/>
          <w:sz w:val="24"/>
          <w:szCs w:val="24"/>
          <w:lang w:val="en-US" w:eastAsia="zh-CN"/>
        </w:rPr>
        <w:t>22</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月30日取得相应的学历、学位。20</w:t>
      </w:r>
      <w:r>
        <w:rPr>
          <w:rFonts w:hint="eastAsia" w:ascii="宋体" w:hAnsi="宋体" w:cs="宋体"/>
          <w:color w:val="auto"/>
          <w:sz w:val="24"/>
          <w:szCs w:val="24"/>
          <w:lang w:val="en-US" w:eastAsia="zh-CN"/>
        </w:rPr>
        <w:t>21</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月1日至20</w:t>
      </w:r>
      <w:r>
        <w:rPr>
          <w:rFonts w:hint="eastAsia" w:ascii="宋体" w:hAnsi="宋体" w:cs="宋体"/>
          <w:color w:val="auto"/>
          <w:sz w:val="24"/>
          <w:szCs w:val="24"/>
          <w:lang w:val="en-US" w:eastAsia="zh-CN"/>
        </w:rPr>
        <w:t>22</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月3</w:t>
      </w:r>
      <w:r>
        <w:rPr>
          <w:rFonts w:hint="eastAsia" w:ascii="宋体" w:hAnsi="宋体" w:cs="宋体"/>
          <w:color w:val="auto"/>
          <w:sz w:val="24"/>
          <w:szCs w:val="24"/>
          <w:lang w:val="en-US" w:eastAsia="zh-CN"/>
        </w:rPr>
        <w:t>0</w:t>
      </w:r>
      <w:r>
        <w:rPr>
          <w:rFonts w:hint="eastAsia" w:ascii="宋体" w:hAnsi="宋体" w:cs="宋体"/>
          <w:color w:val="auto"/>
          <w:sz w:val="24"/>
          <w:szCs w:val="24"/>
        </w:rPr>
        <w:t>日毕业的国（境）外留学回国（境）人员可等同于国内20</w:t>
      </w:r>
      <w:r>
        <w:rPr>
          <w:rFonts w:hint="eastAsia" w:ascii="宋体" w:hAnsi="宋体" w:cs="宋体"/>
          <w:color w:val="auto"/>
          <w:sz w:val="24"/>
          <w:szCs w:val="24"/>
          <w:lang w:val="en-US" w:eastAsia="zh-CN"/>
        </w:rPr>
        <w:t>22</w:t>
      </w:r>
      <w:r>
        <w:rPr>
          <w:rFonts w:hint="eastAsia" w:ascii="宋体" w:hAnsi="宋体" w:cs="宋体"/>
          <w:color w:val="auto"/>
          <w:sz w:val="24"/>
          <w:szCs w:val="24"/>
        </w:rPr>
        <w:t>年普通应届毕业生，报考时仍未毕业的可凭国（境）外学校学籍证明报名,但须于20</w:t>
      </w:r>
      <w:r>
        <w:rPr>
          <w:rFonts w:hint="eastAsia" w:ascii="宋体" w:hAnsi="宋体" w:cs="宋体"/>
          <w:color w:val="auto"/>
          <w:sz w:val="24"/>
          <w:szCs w:val="24"/>
          <w:lang w:val="en-US" w:eastAsia="zh-CN"/>
        </w:rPr>
        <w:t>22</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月3</w:t>
      </w:r>
      <w:r>
        <w:rPr>
          <w:rFonts w:hint="eastAsia" w:ascii="宋体" w:hAnsi="宋体" w:cs="宋体"/>
          <w:color w:val="auto"/>
          <w:sz w:val="24"/>
          <w:szCs w:val="24"/>
          <w:lang w:val="en-US" w:eastAsia="zh-CN"/>
        </w:rPr>
        <w:t>1</w:t>
      </w:r>
      <w:r>
        <w:rPr>
          <w:rFonts w:hint="eastAsia" w:ascii="宋体" w:hAnsi="宋体" w:cs="宋体"/>
          <w:color w:val="auto"/>
          <w:sz w:val="24"/>
          <w:szCs w:val="24"/>
        </w:rPr>
        <w:t>日前取得国家教育部出具的学历学位认证书（到时未取得的不予录用），专业相近的以所学课程为准。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除面向</w:t>
      </w:r>
      <w:r>
        <w:rPr>
          <w:rFonts w:ascii="宋体" w:hAnsi="宋体" w:cs="宋体"/>
          <w:color w:val="auto"/>
          <w:sz w:val="24"/>
          <w:szCs w:val="24"/>
        </w:rPr>
        <w:t>20</w:t>
      </w:r>
      <w:r>
        <w:rPr>
          <w:rFonts w:hint="eastAsia" w:ascii="宋体" w:hAnsi="宋体" w:cs="宋体"/>
          <w:color w:val="auto"/>
          <w:sz w:val="24"/>
          <w:szCs w:val="24"/>
          <w:lang w:val="en-US" w:eastAsia="zh-CN"/>
        </w:rPr>
        <w:t>22</w:t>
      </w:r>
      <w:r>
        <w:rPr>
          <w:rFonts w:hint="eastAsia" w:ascii="宋体" w:hAnsi="宋体" w:cs="宋体"/>
          <w:color w:val="auto"/>
          <w:sz w:val="24"/>
          <w:szCs w:val="24"/>
        </w:rPr>
        <w:t>年普通高等院校应届毕业生的岗位外，其他岗位要求的学历（学位）、职称、执业资格、上岗合格证书、规培合格证书取得时间和年龄、工作经历计算截止时间均为公告发布之日。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宋体" w:hAnsi="宋体" w:cs="宋体"/>
          <w:color w:val="auto"/>
          <w:sz w:val="24"/>
          <w:szCs w:val="24"/>
          <w:lang w:val="en-US" w:eastAsia="zh-CN"/>
        </w:rPr>
        <w:t>3、</w:t>
      </w:r>
      <w:r>
        <w:rPr>
          <w:rFonts w:hint="eastAsia" w:ascii="宋体" w:hAnsi="宋体" w:cs="宋体"/>
          <w:color w:val="auto"/>
          <w:sz w:val="24"/>
          <w:szCs w:val="24"/>
        </w:rPr>
        <w:t>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bookmarkStart w:id="0" w:name="_GoBack"/>
      <w:bookmarkEnd w:id="0"/>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91B48"/>
    <w:rsid w:val="04384C6A"/>
    <w:rsid w:val="045C2FDB"/>
    <w:rsid w:val="069273EA"/>
    <w:rsid w:val="091D53D3"/>
    <w:rsid w:val="09530EDD"/>
    <w:rsid w:val="098C0AE3"/>
    <w:rsid w:val="0CF85FDD"/>
    <w:rsid w:val="0E2645AF"/>
    <w:rsid w:val="0F304080"/>
    <w:rsid w:val="0FF90519"/>
    <w:rsid w:val="11617685"/>
    <w:rsid w:val="1435037D"/>
    <w:rsid w:val="18FC73D4"/>
    <w:rsid w:val="198B4BCC"/>
    <w:rsid w:val="1D4E1986"/>
    <w:rsid w:val="1EC7133F"/>
    <w:rsid w:val="1F2E02D6"/>
    <w:rsid w:val="20E647B9"/>
    <w:rsid w:val="221A54C7"/>
    <w:rsid w:val="22C95C88"/>
    <w:rsid w:val="24440075"/>
    <w:rsid w:val="25C5545E"/>
    <w:rsid w:val="28E42C94"/>
    <w:rsid w:val="296F572C"/>
    <w:rsid w:val="29A033E1"/>
    <w:rsid w:val="29F05C33"/>
    <w:rsid w:val="2AF27034"/>
    <w:rsid w:val="2C2607F2"/>
    <w:rsid w:val="30804845"/>
    <w:rsid w:val="314E25A9"/>
    <w:rsid w:val="377118B3"/>
    <w:rsid w:val="390B71C8"/>
    <w:rsid w:val="3DE245A5"/>
    <w:rsid w:val="415A7489"/>
    <w:rsid w:val="433B50D4"/>
    <w:rsid w:val="471C3447"/>
    <w:rsid w:val="47277282"/>
    <w:rsid w:val="492133E3"/>
    <w:rsid w:val="4BA3064D"/>
    <w:rsid w:val="4D2E2BC6"/>
    <w:rsid w:val="50C7447F"/>
    <w:rsid w:val="521A7048"/>
    <w:rsid w:val="568E587B"/>
    <w:rsid w:val="573827EC"/>
    <w:rsid w:val="5A741364"/>
    <w:rsid w:val="5FF02B26"/>
    <w:rsid w:val="60DF31F2"/>
    <w:rsid w:val="630D35CF"/>
    <w:rsid w:val="64B10BB2"/>
    <w:rsid w:val="64CA6AC3"/>
    <w:rsid w:val="66300C72"/>
    <w:rsid w:val="66BD031C"/>
    <w:rsid w:val="673839BA"/>
    <w:rsid w:val="6D0C5D7A"/>
    <w:rsid w:val="6EAE2F60"/>
    <w:rsid w:val="6EB21FBC"/>
    <w:rsid w:val="6EE6177E"/>
    <w:rsid w:val="6FEA545E"/>
    <w:rsid w:val="73091B48"/>
    <w:rsid w:val="7440282E"/>
    <w:rsid w:val="74517D27"/>
    <w:rsid w:val="764B50B3"/>
    <w:rsid w:val="774A6471"/>
    <w:rsid w:val="78123CEB"/>
    <w:rsid w:val="78310253"/>
    <w:rsid w:val="78BB36AB"/>
    <w:rsid w:val="79FC7252"/>
    <w:rsid w:val="7BB8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detail_title1"/>
    <w:basedOn w:val="5"/>
    <w:qFormat/>
    <w:uiPriority w:val="0"/>
    <w:rPr>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2022-03-24T03:07:00Z</dcterms:created>
  <dc:creator>RQ</dc:creator>
  <cp:lastModifiedBy>RQ</cp:lastModifiedBy>
  <cp:lastPrinted>2022-05-07T10:00:00Z</cp:lastPrinted>
  <dcterms:modified xsi:type="dcterms:W3CDTF">2022-05-10T06:57:49Z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