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5</w:t>
      </w:r>
    </w:p>
    <w:p>
      <w:pPr>
        <w:pStyle w:val="2"/>
        <w:rPr>
          <w:rFonts w:hint="eastAsia"/>
        </w:rPr>
      </w:pPr>
      <w:bookmarkStart w:id="0" w:name="_GoBack"/>
      <w:bookmarkEnd w:id="0"/>
    </w:p>
    <w:p>
      <w:pPr>
        <w:spacing w:line="560" w:lineRule="exact"/>
        <w:ind w:firstLine="0"/>
        <w:jc w:val="center"/>
        <w:rPr>
          <w:rFonts w:hint="eastAsia" w:ascii="黑体" w:hAnsi="黑体" w:eastAsia="黑体" w:cs="黑体"/>
          <w:bCs/>
          <w:color w:val="auto"/>
          <w:sz w:val="44"/>
          <w:szCs w:val="44"/>
        </w:rPr>
      </w:pPr>
      <w:r>
        <w:rPr>
          <w:rFonts w:hint="eastAsia" w:ascii="黑体" w:hAnsi="黑体" w:eastAsia="黑体" w:cs="黑体"/>
          <w:bCs/>
          <w:color w:val="auto"/>
          <w:sz w:val="44"/>
          <w:szCs w:val="44"/>
        </w:rPr>
        <w:t>2022年人事考试新冠肺炎疫情防控要求（新）告知暨承诺书</w:t>
      </w:r>
    </w:p>
    <w:p>
      <w:pPr>
        <w:pStyle w:val="2"/>
        <w:rPr>
          <w:rFonts w:hint="eastAsia"/>
        </w:rPr>
      </w:pP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凡报名参加我单位组织人事考试的考生，须严格遵守本文对疫情防控的要求。考生报名确认时应仔细阅读须认真阅读相关考试的公告、通知、温馨提示等内容并在网上报名系统中确认签署相应的《2022年人事考试新冠肺炎疫情防控要求（新）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一、疫情防控要求</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根据贵州省最新疫情防控规定，对参加本次考试的考生防疫要求如下：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（一）不符合国家、省有关疫情防控要求，不遵守有关疫情防控规定的人员不得进入考点参加考试。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（二）处于康复或隔离期的病例、无症状感染者不得进入考点参加考试。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（三）疑似病例、确诊病例以及无症状感染者的密切接触者不得进入考点参加考试。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（四）处于集中隔离、居家健康监测期间的人员不得进入考点参加考试。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（五）对流动、出行须报备并提供相应证明材料的人员，未按要求报备或未按要求提供相应证明材料的不得进入考点参加考试。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（六）考试当天，经现场医务人员评估有可疑症状且不能排除新冠感染的考生，应配合工作人员按卫生健康部门要求到相应医院就诊，不得进入考点参加考试。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（七）考前14天内有中高风险地区旅居史的考生，不得进入考点参加考试。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（八）考前14天内与本土阳性病例（尚未划定风险等级）活动轨迹有交集人员，不得进入考点参加考试。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九）考前14天内有“本土阳性病例报告地级市”旅居史及国家通信行程卡带“*”号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其余所有考生均须提供考前48小时内的1次核酸检测阴性证明，方可进入考点参加考试。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注意：核酸检测阴性证明的有效时间以“采样时间”为准。</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为确保入场检测进度，核酸检测阴性证明均须提供纸质版（医院出具的纸质证明或电子证明的打印件均可，纸质版证明需在卫生健康部门认可的核酸检测结果查询平台能查询到同步的检测记录）。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（十）原则上所有考生均须按照“应接尽接、应接必接”的要求完成新冠疫苗全程接种及加强免疫。</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（十一）考生应自备一次性使用医用口罩。考试期间，除核验身份时，考生应全程规范佩戴一次性使用医用口罩。未按要求佩戴口罩的考生，不得进入考点参加考试。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二）开考前100分钟，考生即可开始接受检测进入考点，但不能进入考场。考生应尽早到达考点，提前做好入场检测准备，确保入场检测时间充足、秩序良好。不符合入场检测规定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四）为确保顺利参加考试，建议考生关注“国务院客户端”微信公众号，在“便民服务”栏里点击“各地防控政策”选择“出发地”和“目的地”，及时了解各地的防控政策；建议考生提前预约核酸检测、提前进行自我健康状况监测和“贵州健康码、国家通信行程卡”绿码核验，若贵州健康码与本人状况不符，请立即咨询并及时按要求处置；为避免14天内所旅居地级市出现本土阳性病例影响考生参加考试，建议考生提前抵黔，为进行相应次数的核酸检测预留足够时间。</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贵州健康码使用和贵州省疫情防控咨询电话：0851-12345。</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二、入场检测规定</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入场检测时，考生须同时符合以下全部要求，方可进入考点参加考试：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（一）本人“贵州健康码、国家通信行程卡”绿码；</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（二）经检测体温正常（低于37.3℃）；</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（三）佩戴一次性使用医用口罩；</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（四）提供相应的核酸检测阴性证明纸质版（核酸检测阴性证明的有效时间以“采样时间”为准）：</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1.考前14天内有“本土阳性病例报告地级市”旅居史人员及国家通信行程卡带“*”号人员，须提供抵黔后5日内的3次核酸检测阴性证明和考前48小时内的1次核酸检测阴性证明。</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2.其余所有考生均须提供考前48小时内的1次核酸检测阴性证明。</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三、入场检测步骤</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考生须佩戴一次性使用医用口罩提前到达检测点排队，入场检测通道分别设置特殊检测通道和常规检测通道两类。</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（一）特殊检测通道</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考前14天内有“本土阳性病例报告地级市”旅居史人员及国家通信行程卡带“*”号人员进入特殊检测通道。具体检测步骤如下：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（二）常规检测通道</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考前14天内无“本土阳性病例报告地级市”旅居史人员进入常规检测通道，常规检测通道分两步进行检测，具体检测步骤如下：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1.第一步检测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考生须提前准备好考试当天本人“贵州健康码绿码”和《准考证》报检测人员核验并接受体温检测。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经第一步检测合格的，迅速前往第二步检测点。</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2.第二步检测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经第二步检测合格的，检测人员在《准考证》上加盖入场检测合格章。</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（三）临时隔离检查点</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 </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本人已认真阅读以上所有内容，已知悉告知事项、证明义务和疫情防控要求。在此郑重承诺：本人符合《2022年人事考试新冠肺炎疫情防控要求（新）告知暨承诺书》规定的可以参加考试的情形，并在考试全过程中严格遵守国家、省有关疫情防控规定以及本文要求。本人填报、提交和现场出示的所有信息（证明）均真实、准确、完整、有效，符合疫情防控相关要求。因不符合或不遵守疫情防控要求或提供虚假信息（证明）造成的一切后果由本人自行负责。</w:t>
      </w: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2022年人事考试新冠肺炎疫情防控要求（新）部分常见问题解答</w:t>
      </w:r>
    </w:p>
    <w:p>
      <w:pPr>
        <w:spacing w:line="560" w:lineRule="exact"/>
        <w:ind w:firstLine="640" w:firstLineChars="200"/>
        <w:rPr>
          <w:rFonts w:hint="eastAsia" w:ascii="仿宋_GB2312" w:hAnsi="仿宋" w:eastAsia="仿宋_GB2312" w:cs="仿宋"/>
          <w:color w:val="auto"/>
          <w:sz w:val="32"/>
          <w:szCs w:val="32"/>
        </w:rPr>
      </w:pP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一、参加考试是否需要提供核酸检测阴性证明？</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答：所有考生必须在进入考点时提供符合规定的核酸检测阴性证明。</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二、考前48内核酸检测的计算起止时间是什么？</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答:以考生核酸检测阴性报告上“采样时间”为起始，计算至考生参加当次考试的首科考试开考时间为止，凡在48小时内的均符合要求。（以下均按本方式计算核酸检测起止时间）</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三、哪些考生需要提供核酸检测“5天3检”阴性证明？</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考前14天内有“本土阳性病例报告地级市（直辖市为区）”旅居史人员，须提供抵黔后5日内的3次核酸检测阴性证明（以下简称“5天3检”）和考前48小时内的1次核酸检测阴性证明，方可进入考点参加考试。“5天3检”中第3次检测采样在考前48小时内的，无需再提供考前48小时内的1次核酸检测阴性证明。</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四、贵州健康码被赋灰码人员如何参加考试？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答：按照贵州省最新疫情防控规定，贵州健康码被赋灰码人员须进行核酸检测“5天3检”，3次核酸检测为阴性后，贵州健康码将自动转为绿码，若出现异常情况，请及时致电0851-12345咨询处理。</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贵州健康码转为绿码后，考生按照规定进行入场检测，符合规定的进入考点参加考试。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五、“5天3检”有什么要求？</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答：“5天3检”的要求如下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第1次检测。抵黔后，立即在首站地交通场站或入黔交通服务站指定采样点进行第1次核酸采样；采样后，在测温正常并做好个人防护前提下，可“两点一线”返回居住地或酒店等待核酸检测结果，结果未出之前不得外出。</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第2次检测。第1次核酸检测结果为阴性的，在距第1次采样24小时后，在测温正常并做好个人防护前提下，前往就近采样点进行第2次核酸采样；采样后，仅限于在交通场站、工作场所、居住地或酒店、核酸检测机构之间“点对点”流动，不得进入商场、超市等人员密集场所或参加聚餐、聚会等聚集性活动，不得乘坐地铁、公交等公共交通工具。工作期间，要科学佩戴好口罩，尽量减少与他人接触，保持安全社交距离，不得参加会议活动（含培训班）。</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第3次检测。抵黔第5天，在前2次核酸检测结果均为阴性，且测温正常并做好个人防护前提下，前往就近采样点进行第3次核酸采样；采样后，可“点对点”流动。</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注意：“5天3检”均须在贵州省内进行。为避免14天内所旅居地级市（直辖市为区）出现本土阳性病例影响考生参加考试，建议考生提前抵黔，为进行相应次数的核酸检测预留足够时间。</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六、“本土阳性病例报告地级市（直辖市为区）”在哪里查看？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考生可关注贵州省卫生健康委员会官方微信公众号“健康贵州”，通过公众号定期发布的《贵州省对重点地区来（返）黔人员健康管理措施》及其他有关疫情防控要求查询“本土阳性病例报告地级市（直辖市为区）”。</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请考生密切关注考前14天内本人所旅居地级市（直辖市为区）是否有阳性病例报告，提前做好相关准备工作。</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七、考试期间需要佩戴口罩吗？</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答：考生应自备一次性使用医用口罩。考试期间，除核验身份时，考生应全程规范佩戴一次性使用医用口罩。</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八、考生需要提前多久到考点进行入场检测？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为保障入场检测时间充足，各考点入场检测处于各科目开考前100分钟即开始入场检测。请考生尽早到达考点排队接受检测，排队时提前准备好检测材料。请勿临近开考时扎堆到达考点，避免造成拥堵耽误进场时间。</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九、考生入场检测时应走哪种通道？</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十、核酸检测阴性证明要提供纸质版吗？</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答：为确保入场检测进度，核酸检测阴性证明均须提供纸质版（医院出具的纸质证明或电子证明的打印件均可，纸质版证明需在卫生健康部门认可的核酸检测结果查询平台能查询到同步的检测记录）。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十一、入场检测合格后准考证上需要加盖合格章吗？</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答：经入场检测合格的考生，工作人员会在其准考证上加盖合格章，进入考场时监考人员会对准考证上的合格章进行再次核验。凡准考证未加盖合格章的，无法进入考场，请迅速到检测点按要求重新检测。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十二、考生可以开车进入考点吗？</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答:为确保疫情防控安全和考点入场检测秩序，除考试公务车辆外，其余车辆不得进入考点。请勿自行驾车前往考点，接送考生车辆，请在距离考点大门一定距离处即停即走，避免造成交通拥堵。</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十三、为确保顺利参加考试，建议考生关注“国务院客户端”微信公众号，在“便民服务”栏里点击“各地防控政策”选择“出发地”和“目的地”，及时了解各地的防控政策，请提前做好个人健康申报、提前预约核酸检测、提前进行自我健康状况监测和“贵州健康码、国家通信行程卡”绿码核验。</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考试当天，请务必携带手机到考点入场检测处出示“贵州健康码、国家通信行程卡”绿码。进入考场时，手机须按监考人员要求关机放到指定位置，严禁带至考座。</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凡贵州健康码、国家通信行程卡不符合入场检测要求的考生，须立即主动向所在社区报备，并按照当地防控部门的要求，接受社区健康管理、开展核酸检测、执行相关防控措施。请勿前往考点、考场等人群密集的公共场所。</w:t>
      </w:r>
    </w:p>
    <w:p>
      <w:pPr>
        <w:ind w:firstLine="640" w:firstLineChars="200"/>
        <w:rPr>
          <w:rFonts w:hint="eastAsia" w:ascii="仿宋_GB2312" w:hAnsi="仿宋" w:eastAsia="仿宋_GB2312" w:cs="仿宋"/>
          <w:i w:val="0"/>
          <w:iCs w:val="0"/>
          <w:caps w:val="0"/>
          <w:color w:val="auto"/>
          <w:spacing w:val="0"/>
          <w:sz w:val="32"/>
          <w:szCs w:val="32"/>
          <w:lang w:val="en-US" w:eastAsia="zh-CN"/>
        </w:rPr>
      </w:pPr>
      <w:r>
        <w:rPr>
          <w:rFonts w:hint="eastAsia" w:ascii="仿宋_GB2312" w:hAnsi="仿宋" w:eastAsia="仿宋_GB2312" w:cs="仿宋"/>
          <w:color w:val="auto"/>
          <w:sz w:val="32"/>
          <w:szCs w:val="32"/>
        </w:rPr>
        <w:t>十四、所有参加本次考试的考生应按本方案疫情防控要求严格执行。</w:t>
      </w:r>
    </w:p>
    <w:p>
      <w:pPr>
        <w:ind w:firstLine="640" w:firstLineChars="200"/>
        <w:rPr>
          <w:rFonts w:hint="eastAsia" w:ascii="仿宋_GB2312" w:hAnsi="仿宋" w:eastAsia="仿宋_GB2312" w:cs="仿宋"/>
          <w:i w:val="0"/>
          <w:iCs w:val="0"/>
          <w:caps w:val="0"/>
          <w:color w:val="auto"/>
          <w:spacing w:val="0"/>
          <w:sz w:val="32"/>
          <w:szCs w:val="32"/>
          <w:lang w:val="en-US" w:eastAsia="zh-CN"/>
        </w:rPr>
      </w:pPr>
    </w:p>
    <w:p>
      <w:pPr>
        <w:wordWrap w:val="0"/>
        <w:spacing w:line="500" w:lineRule="exact"/>
        <w:ind w:left="638" w:leftChars="304"/>
        <w:rPr>
          <w:rFonts w:hint="eastAsia" w:ascii="仿宋_GB2312" w:hAnsi="仿宋" w:eastAsia="仿宋_GB2312" w:cs="仿宋"/>
          <w:color w:val="auto"/>
          <w:kern w:val="0"/>
          <w:sz w:val="32"/>
          <w:szCs w:val="32"/>
        </w:rPr>
      </w:pPr>
    </w:p>
    <w:p/>
    <w:sectPr>
      <w:pgSz w:w="11907" w:h="16840"/>
      <w:pgMar w:top="1418" w:right="1418" w:bottom="1418" w:left="1418" w:header="851" w:footer="992" w:gutter="0"/>
      <w:pgNumType w:fmt="numberInDash" w:start="1"/>
      <w:cols w:space="720" w:num="1"/>
      <w:docGrid w:type="lines" w:linePitch="318"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NTFjYzA2NGU5MTI5ZTdhNDA1ZWJiMmY0YzJkM2YifQ=="/>
  </w:docVars>
  <w:rsids>
    <w:rsidRoot w:val="0F8039DC"/>
    <w:rsid w:val="0F8039DC"/>
    <w:rsid w:val="33FAC66A"/>
    <w:rsid w:val="46163A00"/>
    <w:rsid w:val="4DDF09FD"/>
    <w:rsid w:val="4E3F1BF7"/>
    <w:rsid w:val="5990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2022-05-09T16:12:00Z</dcterms:created>
  <dc:creator>rsk03</dc:creator>
  <cp:lastModifiedBy>Administrator</cp:lastModifiedBy>
  <dcterms:modified xsi:type="dcterms:W3CDTF">2022-05-11T06:31:00Z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963AA24F21454E36B279FF450C1D6816</vt:lpwstr>
  </property>
</Properties>
</file>