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年上半年舟山市田家炳中学面向社会公开招聘教师计划表</w:t>
      </w: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tbl>
      <w:tblPr>
        <w:tblStyle w:val="2"/>
        <w:tblpPr w:leftFromText="180" w:rightFromText="180" w:vertAnchor="page" w:horzAnchor="margin" w:tblpX="108" w:tblpY="2776"/>
        <w:tblW w:w="14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56"/>
        <w:gridCol w:w="1416"/>
        <w:gridCol w:w="1032"/>
        <w:gridCol w:w="5962"/>
        <w:gridCol w:w="1984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招聘岗位     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4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舟山市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田家炳中学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:中国语言文学类、学科教学（语文）、教育（学科教学语文）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王老师（18905808797）</w:t>
            </w:r>
          </w:p>
        </w:tc>
        <w:tc>
          <w:tcPr>
            <w:tcW w:w="214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eastAsia="仿宋"/>
                <w:sz w:val="18"/>
                <w:szCs w:val="18"/>
              </w:rPr>
              <w:t>12696096</w:t>
            </w:r>
            <w:r>
              <w:rPr>
                <w:rFonts w:eastAsia="仿宋"/>
                <w:sz w:val="18"/>
                <w:szCs w:val="18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本科：英语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研究生：物理学类、课程与教学论（物理）、学科教学（物理）、教育（学科教学物理）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本科：物理学、应用物理学、核物理、地球物理学、材料物理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、政治学类、思想政治教育、政治教育（学科教学政治）</w:t>
            </w:r>
          </w:p>
          <w:p>
            <w:pP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本科：哲学、逻辑学、思想政治教育、法学、政治学类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12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69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名（校聘教师）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00D206C8"/>
    <w:rsid w:val="002C527F"/>
    <w:rsid w:val="00855316"/>
    <w:rsid w:val="00BE57B6"/>
    <w:rsid w:val="00C96D91"/>
    <w:rsid w:val="00D206C8"/>
    <w:rsid w:val="00F83952"/>
    <w:rsid w:val="00FD75AF"/>
    <w:rsid w:val="14B948B0"/>
    <w:rsid w:val="396E593B"/>
    <w:rsid w:val="3E10092B"/>
    <w:rsid w:val="44F73AF5"/>
    <w:rsid w:val="70B54216"/>
    <w:rsid w:val="77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560</Characters>
  <Lines>1</Lines>
  <Paragraphs>1</Paragraphs>
  <TotalTime>6</TotalTime>
  <ScaleCrop>false</ScaleCrop>
  <LinksUpToDate>false</LinksUpToDate>
  <CharactersWithSpaces>571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2021-03-31T00:03:00Z</dcterms:created>
  <dc:creator>xb21cn</dc:creator>
  <cp:lastModifiedBy>TJBZX</cp:lastModifiedBy>
  <dcterms:modified xsi:type="dcterms:W3CDTF">2022-06-01T00:33:43Z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6D77265FE9AB43E1ACDC5FF2DD63E4D1</vt:lpwstr>
  </property>
</Properties>
</file>