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95" w:line="540" w:lineRule="exact"/>
        <w:textAlignment w:val="auto"/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2022年卢氏县医疗卫生系统引进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专业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计划一览表</w:t>
      </w:r>
    </w:p>
    <w:tbl>
      <w:tblPr>
        <w:tblStyle w:val="4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847"/>
        <w:gridCol w:w="989"/>
        <w:gridCol w:w="929"/>
        <w:gridCol w:w="1417"/>
        <w:gridCol w:w="2020"/>
        <w:gridCol w:w="1424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rPr>
                <w:rFonts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用人单位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拟引进人数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  <w:lang w:eastAsia="zh-CN"/>
              </w:rPr>
              <w:t>编制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岗位类型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学历要求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黑体"/>
                <w:b/>
                <w:bCs w:val="0"/>
                <w:color w:val="000000"/>
                <w:sz w:val="22"/>
                <w:szCs w:val="22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卢氏县人民医院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val="en-US" w:eastAsia="zh-CN"/>
              </w:rPr>
              <w:t>15人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202201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事业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专业技术岗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临床医学专业</w:t>
            </w:r>
          </w:p>
        </w:tc>
        <w:tc>
          <w:tcPr>
            <w:tcW w:w="1424" w:type="dxa"/>
            <w:vMerge w:val="restar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宋体"/>
                <w:bCs/>
                <w:color w:val="000000"/>
                <w:sz w:val="21"/>
                <w:szCs w:val="21"/>
                <w:lang w:eastAsia="zh-CN"/>
              </w:rPr>
              <w:t>普通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全日制本科及以上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学历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不含委托培养、定向培养、中外合作办学）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35周岁及以下（1986年6月20日以后出生）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中医学专业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</w:rPr>
              <w:t>03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中西医临床医学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</w:rPr>
              <w:t>04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放射医学专业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202205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医学影像学专业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卢氏县中医院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val="en-US" w:eastAsia="zh-CN"/>
              </w:rPr>
              <w:t>20人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202206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事业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专业技术岗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临床医学专业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202207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中医学专业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202208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中西医临床医学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202209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医学影像学专业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default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202210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中药学专业</w:t>
            </w:r>
          </w:p>
        </w:tc>
        <w:tc>
          <w:tcPr>
            <w:tcW w:w="1424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37" w:type="dxa"/>
            <w:vMerge w:val="restar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卢氏县疾控中心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val="en-US" w:eastAsia="zh-CN"/>
              </w:rPr>
              <w:t>15人</w:t>
            </w: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7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9" w:type="dxa"/>
            <w:vMerge w:val="restar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  <w:lang w:eastAsia="zh-CN"/>
              </w:rPr>
              <w:t>事业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eastAsia="宋体"/>
                <w:sz w:val="18"/>
                <w:szCs w:val="21"/>
                <w:lang w:eastAsia="zh-CN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专业技术岗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公共卫生与预防医学类、医学技术类</w:t>
            </w: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default" w:ascii="宋体" w:hAnsi="宋体" w:eastAsia="宋体" w:cs="黑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9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  <w:t>专业技术岗</w:t>
            </w:r>
          </w:p>
        </w:tc>
        <w:tc>
          <w:tcPr>
            <w:tcW w:w="2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center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护理学类</w:t>
            </w:r>
          </w:p>
        </w:tc>
        <w:tc>
          <w:tcPr>
            <w:tcW w:w="1424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47" w:type="dxa"/>
            <w:vMerge w:val="continue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宋体" w:hAnsi="宋体" w:eastAsia="宋体" w:cs="黑体"/>
                <w:bCs/>
                <w:color w:val="000000"/>
              </w:rPr>
            </w:pPr>
          </w:p>
        </w:tc>
      </w:tr>
    </w:tbl>
    <w:p>
      <w:pPr>
        <w:spacing w:line="560" w:lineRule="exact"/>
        <w:jc w:val="left"/>
        <w:textAlignment w:val="auto"/>
        <w:rPr>
          <w:rStyle w:val="7"/>
          <w:rFonts w:ascii="黑体" w:hAnsi="黑体" w:eastAsia="黑体" w:cs="黑体"/>
          <w:bCs/>
          <w:color w:val="000000"/>
          <w:kern w:val="0"/>
          <w:sz w:val="30"/>
          <w:szCs w:val="30"/>
        </w:rPr>
      </w:pPr>
      <w:r>
        <w:rPr>
          <w:rStyle w:val="7"/>
          <w:rFonts w:eastAsia="楷体" w:cs="Times New Roman"/>
          <w:b/>
          <w:bCs/>
          <w:color w:val="000000"/>
          <w:spacing w:val="-6"/>
          <w:sz w:val="28"/>
          <w:szCs w:val="28"/>
        </w:rPr>
        <w:t>备注：参照河南省统一考试录用公务员专业设置指导目录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libri Light" w:hAnsi="Calibri Light" w:cs="Times New Roman"/>
      <w:b/>
      <w:bCs/>
      <w:sz w:val="32"/>
      <w:szCs w:val="32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2022-06-06T10:45:10Z</dcterms:created>
  <dc:creator>Administrator</dc:creator>
  <cp:lastModifiedBy>Administrator</cp:lastModifiedBy>
  <dcterms:modified xsi:type="dcterms:W3CDTF">2022-06-06T10:45:37Z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270FDD286BF044D7AE496AC494774B28</vt:lpwstr>
  </property>
</Properties>
</file>