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附件1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中山市坦洲镇人民政府下属中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小学校2022年公开招聘专任教师岗位表</w:t>
      </w:r>
    </w:p>
    <w:tbl>
      <w:tblPr>
        <w:tblStyle w:val="6"/>
        <w:tblpPr w:leftFromText="180" w:rightFromText="180" w:vertAnchor="text" w:horzAnchor="page" w:tblpX="901" w:tblpY="1435"/>
        <w:tblOverlap w:val="never"/>
        <w:tblW w:w="144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46"/>
        <w:gridCol w:w="915"/>
        <w:gridCol w:w="718"/>
        <w:gridCol w:w="648"/>
        <w:gridCol w:w="2654"/>
        <w:gridCol w:w="653"/>
        <w:gridCol w:w="758"/>
        <w:gridCol w:w="777"/>
        <w:gridCol w:w="759"/>
        <w:gridCol w:w="811"/>
        <w:gridCol w:w="883"/>
        <w:gridCol w:w="970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A040102[课程与教学论],A040113[学科教学硕士（专业硕士）],A040101[教育学原理],A040112[教育管理硕士（专业硕士）],A0501[中国语言文学],A0503[新闻传播学]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从事初中语文学科教育教学工作。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课程与教学论、学科教学、教育学原理、教育管理专业须为语文方向。社会人员需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A0701[数学],A040102[课程与教学论],A040113[学科教学硕士（专业硕士）],A020208[统计学],A020213[应用统计硕士（专业硕士）],A120201[会计学],A120206[会计硕士（专业硕士）]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从事初中数学学科教育教学工作。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课程与教学论、学科教学专业须为数学方向。社会人员需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040102[课程与教学论],A040113[学科教学硕士（专业硕士）],A040101[教育学原理],A040112[教育管理硕士（专业硕士）],A050201[英语语言文学],A050211[外国语言学及应用语言学],A050212[英语笔译硕士（专业硕士）],A050213[英语口译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从事初中英语学科教育教学工作。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外国语言学及应用语言学、教育学原理、教育管理、课程与教学论、学科教学专业须为英语方向。社会人员需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A0601[历史学],A040102[课程与教学论],A040113[学科教学硕士（专业硕士）],A040101[教育学原理],A040112[教育管理硕士（专业硕士）]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从事初中历史学科教育教学工作。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课程与教学论、学科教学、教育学原理、教育管理专业须为历史方向。社会人员需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A040102[课程与教学论],A040113[学科教学硕士（专业硕士）],A0101[哲学],A0301[法学],A0302[政治学],A0305[马克思主义理论],A040101[教育学原理],A040112[教育管理硕士（专业硕士）]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从事初中道德与法治学科教育教学工作。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课程与教学论、学科教学、教育学原理、教育管理专业须为道德与法治方向。社会人员需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A0705[地理学],A0704[天文学],A0816[测绘科学与技术],A040102[课程与教学论],A040113[学科教学硕士（专业硕士）]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从事初中地理学科教育教学工作。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课程与教学论、学科教学专业须为地理方向。社会人员需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A0702[物理学],A040102[课程与教学论],A040113[学科教学硕士（专业硕士）]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从事初中物理学科教育教学工作。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课程与教学论、学科教学专业须为物理方向。社会人员需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TZ2022008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A040102[课程与教学论],A040113[学科教学硕士（专业硕士）],A0710[生物学],A0836[生物工程],A0830[环境科学与工程]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从事初中生物学科教育教学工作。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课程与教学论、学科教学专业须为生物方向。社会人员需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A040102[课程与教学论],A040113[学科教学硕士（专业硕士）],A040115[小学教育硕士（专业硕士）],A0501[中国语言文学],A040101[教育学原理],A040112[教育管理硕士（专业硕士）],A0503[新闻传播学]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从事小学语文学科教育教学工作。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课程与教学论、学科教学、教育学原理、教育管理、小学教育专业须为语文方向。社会人员需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A0701[数学],A040102[课程与教学论],A040113[学科教学硕士（专业硕士）],A040115[小学教育硕士（专业硕士）],A020208[统计学],A020213[应用统计硕士（专业硕士）],A120201[会计学],A120206[会计硕士（专业硕士）]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从事小学数学学科教育教学工作。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学科教学、课程与教学论、小学教育专业须为数学方向。社会人员需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涉及年限计算的时间截至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2022年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（公告发布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首日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sectPr>
      <w:footerReference r:id="rId3" w:type="default"/>
      <w:pgSz w:w="16838" w:h="11906" w:orient="landscape"/>
      <w:pgMar w:top="1701" w:right="1587" w:bottom="1701" w:left="1587" w:header="1417" w:footer="1417" w:gutter="0"/>
      <w:pgNumType w:fmt="numberInDash"/>
      <w:cols w:space="0" w:num="1"/>
      <w:rtlGutter w:val="0"/>
      <w:docGrid w:type="lines" w:linePitch="3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trackRevisions w:val="1"/>
  <w:documentProtection w:edit="trackedChanges" w:enforcement="0"/>
  <w:defaultTabStop w:val="420"/>
  <w:drawingGridVerticalSpacing w:val="17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WYyZjkwZTBmZDgyZDdkMWQ1ZmRmZTEyMDBjNmIifQ=="/>
  </w:docVars>
  <w:rsids>
    <w:rsidRoot w:val="13C128F7"/>
    <w:rsid w:val="016007C3"/>
    <w:rsid w:val="04017B04"/>
    <w:rsid w:val="061D7BB2"/>
    <w:rsid w:val="0A5B2B76"/>
    <w:rsid w:val="0BDC5B78"/>
    <w:rsid w:val="0E2E6B20"/>
    <w:rsid w:val="13C128F7"/>
    <w:rsid w:val="147F3190"/>
    <w:rsid w:val="18F24319"/>
    <w:rsid w:val="22F24A39"/>
    <w:rsid w:val="24B06BBE"/>
    <w:rsid w:val="267B5B07"/>
    <w:rsid w:val="30AA0C6E"/>
    <w:rsid w:val="319C43BD"/>
    <w:rsid w:val="31CF1155"/>
    <w:rsid w:val="3B3D34BF"/>
    <w:rsid w:val="3C980683"/>
    <w:rsid w:val="47AC35C7"/>
    <w:rsid w:val="49A44B3E"/>
    <w:rsid w:val="4AED25E8"/>
    <w:rsid w:val="4BE45246"/>
    <w:rsid w:val="4CB43DC7"/>
    <w:rsid w:val="4CFA59F0"/>
    <w:rsid w:val="4E2A75B6"/>
    <w:rsid w:val="5162019D"/>
    <w:rsid w:val="524B494C"/>
    <w:rsid w:val="53AF3B1D"/>
    <w:rsid w:val="5BEE62E8"/>
    <w:rsid w:val="5CAC31A0"/>
    <w:rsid w:val="5FF45EAA"/>
    <w:rsid w:val="60731157"/>
    <w:rsid w:val="63405F41"/>
    <w:rsid w:val="676D7971"/>
    <w:rsid w:val="69730DB7"/>
    <w:rsid w:val="6C9F71D1"/>
    <w:rsid w:val="6CAC257F"/>
    <w:rsid w:val="70013F75"/>
    <w:rsid w:val="74CA5C9A"/>
    <w:rsid w:val="77FD0F3E"/>
    <w:rsid w:val="7A164F61"/>
    <w:rsid w:val="7BC06C4A"/>
    <w:rsid w:val="7BE56189"/>
    <w:rsid w:val="7F1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1510</Words>
  <Characters>2536</Characters>
  <Lines>0</Lines>
  <Paragraphs>0</Paragraphs>
  <TotalTime>4</TotalTime>
  <ScaleCrop>false</ScaleCrop>
  <LinksUpToDate>false</LinksUpToDate>
  <CharactersWithSpaces>2536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2021-02-03T03:12:00Z</dcterms:created>
  <dc:creator>hp</dc:creator>
  <cp:lastModifiedBy>梁婉婷</cp:lastModifiedBy>
  <cp:lastPrinted>2022-05-27T05:32:00Z</cp:lastPrinted>
  <dcterms:modified xsi:type="dcterms:W3CDTF">2022-06-13T02:43:01Z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4A525A0FFF754D8E907B3FC2375D171F</vt:lpwstr>
  </property>
</Properties>
</file>